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设计依据</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建筑概况</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1</w:t>
      </w:r>
      <w:r>
        <w:rPr>
          <w:rFonts w:hint="eastAsia" w:ascii="宋体" w:hAnsi="宋体" w:cs="宋体"/>
          <w:w w:val="90"/>
          <w:sz w:val="30"/>
          <w:szCs w:val="30"/>
        </w:rPr>
        <w:t>）工程名称：</w:t>
      </w:r>
      <w:r>
        <w:rPr>
          <w:rFonts w:ascii="宋体" w:hAnsi="宋体" w:cs="宋体"/>
          <w:w w:val="90"/>
          <w:sz w:val="30"/>
          <w:szCs w:val="30"/>
        </w:rPr>
        <w:t xml:space="preserve"> 天河区中医医院新塘分院医护楼改造工程项目设计 </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2</w:t>
      </w:r>
      <w:r>
        <w:rPr>
          <w:rFonts w:hint="eastAsia" w:ascii="宋体" w:hAnsi="宋体" w:cs="宋体"/>
          <w:w w:val="90"/>
          <w:sz w:val="30"/>
          <w:szCs w:val="30"/>
        </w:rPr>
        <w:t>）建设地点：</w:t>
      </w:r>
      <w:r>
        <w:rPr>
          <w:rFonts w:ascii="宋体" w:hAnsi="宋体" w:cs="宋体"/>
          <w:w w:val="90"/>
          <w:sz w:val="30"/>
          <w:szCs w:val="30"/>
        </w:rPr>
        <w:t xml:space="preserve"> </w:t>
      </w:r>
      <w:r>
        <w:rPr>
          <w:rFonts w:hint="eastAsia" w:ascii="宋体" w:hAnsi="宋体" w:cs="宋体"/>
          <w:w w:val="90"/>
          <w:sz w:val="30"/>
          <w:szCs w:val="30"/>
        </w:rPr>
        <w:t>广州市天河区大观路大观街以北</w:t>
      </w:r>
      <w:r>
        <w:rPr>
          <w:rFonts w:ascii="宋体" w:hAnsi="宋体" w:cs="宋体"/>
          <w:w w:val="90"/>
          <w:sz w:val="30"/>
          <w:szCs w:val="30"/>
        </w:rPr>
        <w:t xml:space="preserve">       </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3</w:t>
      </w:r>
      <w:r>
        <w:rPr>
          <w:rFonts w:hint="eastAsia" w:ascii="宋体" w:hAnsi="宋体" w:cs="宋体"/>
          <w:w w:val="90"/>
          <w:sz w:val="30"/>
          <w:szCs w:val="30"/>
        </w:rPr>
        <w:t xml:space="preserve">）建设单位： </w:t>
      </w:r>
      <w:r>
        <w:rPr>
          <w:rFonts w:ascii="宋体" w:hAnsi="宋体" w:cs="宋体"/>
          <w:w w:val="90"/>
          <w:sz w:val="30"/>
          <w:szCs w:val="30"/>
        </w:rPr>
        <w:t xml:space="preserve">广州市天河区中医医院                     </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5</w:t>
      </w:r>
      <w:r>
        <w:rPr>
          <w:rFonts w:hint="eastAsia" w:ascii="宋体" w:hAnsi="宋体" w:cs="宋体"/>
          <w:w w:val="90"/>
          <w:sz w:val="30"/>
          <w:szCs w:val="30"/>
        </w:rPr>
        <w:t>）建筑高度：6382.0平方米；724.0平方米，地下：1层；地上：9层；规划建筑高度30.00米，消防建筑高度28.5米；</w:t>
      </w:r>
      <w:r>
        <w:rPr>
          <w:rFonts w:ascii="宋体" w:hAnsi="宋体" w:cs="宋体"/>
          <w:w w:val="90"/>
          <w:sz w:val="30"/>
          <w:szCs w:val="30"/>
        </w:rPr>
        <w:t xml:space="preserve"> </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6</w:t>
      </w:r>
      <w:r>
        <w:rPr>
          <w:rFonts w:hint="eastAsia" w:ascii="宋体" w:hAnsi="宋体" w:cs="宋体"/>
          <w:w w:val="90"/>
          <w:sz w:val="30"/>
          <w:szCs w:val="30"/>
        </w:rPr>
        <w:t>）建筑规模：总建筑面积：</w:t>
      </w:r>
      <w:r>
        <w:rPr>
          <w:rFonts w:ascii="宋体" w:hAnsi="宋体" w:cs="宋体"/>
          <w:w w:val="90"/>
          <w:sz w:val="30"/>
          <w:szCs w:val="30"/>
        </w:rPr>
        <w:t>6382.0</w:t>
      </w:r>
      <w:r>
        <w:rPr>
          <w:rFonts w:hint="eastAsia" w:ascii="宋体" w:hAnsi="宋体" w:cs="宋体"/>
          <w:w w:val="90"/>
          <w:sz w:val="30"/>
          <w:szCs w:val="30"/>
        </w:rPr>
        <w:t>平方米。</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7</w:t>
      </w:r>
      <w:r>
        <w:rPr>
          <w:rFonts w:hint="eastAsia" w:ascii="宋体" w:hAnsi="宋体" w:cs="宋体"/>
          <w:w w:val="90"/>
          <w:sz w:val="30"/>
          <w:szCs w:val="30"/>
        </w:rPr>
        <w:t>）</w:t>
      </w:r>
      <w:r>
        <w:rPr>
          <w:rFonts w:ascii="宋体" w:hAnsi="宋体" w:cs="宋体"/>
          <w:w w:val="90"/>
          <w:sz w:val="30"/>
          <w:szCs w:val="30"/>
        </w:rPr>
        <w:t xml:space="preserve"> </w:t>
      </w:r>
      <w:r>
        <w:rPr>
          <w:rFonts w:hint="eastAsia" w:ascii="宋体" w:hAnsi="宋体" w:cs="宋体"/>
          <w:w w:val="90"/>
          <w:sz w:val="30"/>
          <w:szCs w:val="30"/>
        </w:rPr>
        <w:t>设计使用年限：</w:t>
      </w:r>
      <w:r>
        <w:rPr>
          <w:rFonts w:ascii="宋体" w:hAnsi="宋体" w:cs="宋体"/>
          <w:w w:val="90"/>
          <w:sz w:val="30"/>
          <w:szCs w:val="30"/>
        </w:rPr>
        <w:t xml:space="preserve"> 50 </w:t>
      </w:r>
      <w:r>
        <w:rPr>
          <w:rFonts w:hint="eastAsia" w:ascii="宋体" w:hAnsi="宋体" w:cs="宋体"/>
          <w:w w:val="90"/>
          <w:sz w:val="30"/>
          <w:szCs w:val="30"/>
        </w:rPr>
        <w:t>年；</w:t>
      </w:r>
      <w:r>
        <w:rPr>
          <w:rFonts w:ascii="宋体" w:hAnsi="宋体" w:cs="宋体"/>
          <w:w w:val="90"/>
          <w:sz w:val="30"/>
          <w:szCs w:val="30"/>
        </w:rPr>
        <w:t xml:space="preserve"> </w:t>
      </w:r>
      <w:r>
        <w:rPr>
          <w:rFonts w:hint="eastAsia" w:ascii="宋体" w:hAnsi="宋体" w:cs="宋体"/>
          <w:w w:val="90"/>
          <w:sz w:val="30"/>
          <w:szCs w:val="30"/>
        </w:rPr>
        <w:t>抗震设防烈度：</w:t>
      </w:r>
      <w:r>
        <w:rPr>
          <w:rFonts w:ascii="宋体" w:hAnsi="宋体" w:cs="宋体"/>
          <w:w w:val="90"/>
          <w:sz w:val="30"/>
          <w:szCs w:val="30"/>
        </w:rPr>
        <w:t xml:space="preserve"> 6 </w:t>
      </w:r>
      <w:r>
        <w:rPr>
          <w:rFonts w:hint="eastAsia" w:ascii="宋体" w:hAnsi="宋体" w:cs="宋体"/>
          <w:w w:val="90"/>
          <w:sz w:val="30"/>
          <w:szCs w:val="30"/>
        </w:rPr>
        <w:t>度；</w:t>
      </w:r>
      <w:r>
        <w:rPr>
          <w:rFonts w:ascii="宋体" w:hAnsi="宋体" w:cs="宋体"/>
          <w:w w:val="90"/>
          <w:sz w:val="30"/>
          <w:szCs w:val="30"/>
        </w:rPr>
        <w:t xml:space="preserve"> </w:t>
      </w:r>
      <w:r>
        <w:rPr>
          <w:rFonts w:hint="eastAsia" w:ascii="宋体" w:hAnsi="宋体" w:cs="宋体"/>
          <w:w w:val="90"/>
          <w:sz w:val="30"/>
          <w:szCs w:val="30"/>
        </w:rPr>
        <w:t>主要结构类型：框架-剪力墙。</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8</w:t>
      </w:r>
      <w:r>
        <w:rPr>
          <w:rFonts w:hint="eastAsia" w:ascii="宋体" w:hAnsi="宋体" w:cs="宋体"/>
          <w:w w:val="90"/>
          <w:sz w:val="30"/>
          <w:szCs w:val="30"/>
        </w:rPr>
        <w:t>）建筑分类和耐火等级：建筑分类：</w:t>
      </w:r>
      <w:r>
        <w:rPr>
          <w:rFonts w:ascii="宋体" w:hAnsi="宋体" w:cs="宋体"/>
          <w:w w:val="90"/>
          <w:sz w:val="30"/>
          <w:szCs w:val="30"/>
        </w:rPr>
        <w:t xml:space="preserve"> </w:t>
      </w:r>
      <w:r>
        <w:rPr>
          <w:rFonts w:hint="eastAsia" w:ascii="宋体" w:hAnsi="宋体" w:cs="宋体"/>
          <w:w w:val="90"/>
          <w:sz w:val="30"/>
          <w:szCs w:val="30"/>
        </w:rPr>
        <w:t>一类高层</w:t>
      </w:r>
      <w:r>
        <w:rPr>
          <w:rFonts w:ascii="宋体" w:hAnsi="宋体" w:cs="宋体"/>
          <w:w w:val="90"/>
          <w:sz w:val="30"/>
          <w:szCs w:val="30"/>
        </w:rPr>
        <w:t xml:space="preserve"> </w:t>
      </w:r>
      <w:r>
        <w:rPr>
          <w:rFonts w:hint="eastAsia" w:ascii="宋体" w:hAnsi="宋体" w:cs="宋体"/>
          <w:w w:val="90"/>
          <w:sz w:val="30"/>
          <w:szCs w:val="30"/>
        </w:rPr>
        <w:t>；耐火等级：</w:t>
      </w:r>
      <w:r>
        <w:rPr>
          <w:rFonts w:ascii="宋体" w:hAnsi="宋体" w:cs="宋体"/>
          <w:w w:val="90"/>
          <w:sz w:val="30"/>
          <w:szCs w:val="30"/>
        </w:rPr>
        <w:t xml:space="preserve"> </w:t>
      </w:r>
      <w:r>
        <w:rPr>
          <w:rFonts w:hint="eastAsia" w:ascii="宋体" w:hAnsi="宋体" w:cs="宋体"/>
          <w:w w:val="90"/>
          <w:sz w:val="30"/>
          <w:szCs w:val="30"/>
        </w:rPr>
        <w:t>一</w:t>
      </w:r>
      <w:r>
        <w:rPr>
          <w:rFonts w:ascii="宋体" w:hAnsi="宋体" w:cs="宋体"/>
          <w:w w:val="90"/>
          <w:sz w:val="30"/>
          <w:szCs w:val="30"/>
        </w:rPr>
        <w:t xml:space="preserve"> </w:t>
      </w:r>
      <w:r>
        <w:rPr>
          <w:rFonts w:hint="eastAsia" w:ascii="宋体" w:hAnsi="宋体" w:cs="宋体"/>
          <w:w w:val="90"/>
          <w:sz w:val="30"/>
          <w:szCs w:val="30"/>
        </w:rPr>
        <w:t>级。</w:t>
      </w:r>
      <w:r>
        <w:rPr>
          <w:rFonts w:ascii="宋体" w:hAnsi="宋体" w:cs="宋体"/>
          <w:w w:val="90"/>
          <w:sz w:val="30"/>
          <w:szCs w:val="30"/>
        </w:rPr>
        <w:t xml:space="preserve"> </w:t>
      </w:r>
    </w:p>
    <w:p>
      <w:pPr>
        <w:tabs>
          <w:tab w:val="left" w:pos="283"/>
        </w:tabs>
        <w:spacing w:line="425" w:lineRule="exact"/>
        <w:ind w:left="227"/>
        <w:contextualSpacing/>
        <w:rPr>
          <w:rFonts w:ascii="宋体" w:hAnsi="宋体" w:cs="宋体"/>
          <w:w w:val="90"/>
          <w:sz w:val="30"/>
          <w:szCs w:val="30"/>
        </w:rPr>
      </w:pPr>
      <w:r>
        <w:rPr>
          <w:rFonts w:ascii="宋体" w:hAnsi="宋体" w:cs="宋体"/>
          <w:w w:val="90"/>
          <w:sz w:val="30"/>
          <w:szCs w:val="30"/>
        </w:rPr>
        <w:t>9</w:t>
      </w:r>
      <w:r>
        <w:rPr>
          <w:rFonts w:hint="eastAsia" w:ascii="宋体" w:hAnsi="宋体" w:cs="宋体"/>
          <w:w w:val="90"/>
          <w:sz w:val="30"/>
          <w:szCs w:val="30"/>
        </w:rPr>
        <w:t>）本工程建筑的主要改造内容：</w:t>
      </w:r>
    </w:p>
    <w:p>
      <w:pPr>
        <w:tabs>
          <w:tab w:val="left" w:pos="283"/>
        </w:tabs>
        <w:spacing w:line="425" w:lineRule="exact"/>
        <w:ind w:left="227"/>
        <w:contextualSpacing/>
        <w:rPr>
          <w:rFonts w:ascii="宋体" w:hAnsi="宋体" w:cs="宋体"/>
          <w:w w:val="90"/>
          <w:sz w:val="30"/>
          <w:szCs w:val="30"/>
        </w:rPr>
      </w:pPr>
      <w:r>
        <w:rPr>
          <w:rFonts w:hint="eastAsia" w:ascii="宋体" w:hAnsi="宋体" w:cs="宋体"/>
          <w:w w:val="90"/>
          <w:sz w:val="30"/>
          <w:szCs w:val="30"/>
        </w:rPr>
        <w:t>a、室内装修改造。</w:t>
      </w:r>
    </w:p>
    <w:p>
      <w:pPr>
        <w:tabs>
          <w:tab w:val="left" w:pos="283"/>
        </w:tabs>
        <w:spacing w:line="425" w:lineRule="exact"/>
        <w:ind w:left="227"/>
        <w:contextualSpacing/>
        <w:rPr>
          <w:rFonts w:ascii="宋体" w:hAnsi="宋体" w:cs="宋体"/>
          <w:w w:val="90"/>
          <w:sz w:val="30"/>
          <w:szCs w:val="30"/>
        </w:rPr>
      </w:pPr>
      <w:r>
        <w:rPr>
          <w:rFonts w:hint="eastAsia" w:ascii="宋体" w:hAnsi="宋体" w:cs="宋体"/>
          <w:w w:val="90"/>
          <w:sz w:val="30"/>
          <w:szCs w:val="30"/>
        </w:rPr>
        <w:t>b、部分平面布局调整。</w:t>
      </w:r>
    </w:p>
    <w:p>
      <w:pPr>
        <w:tabs>
          <w:tab w:val="left" w:pos="283"/>
        </w:tabs>
        <w:spacing w:line="425" w:lineRule="exact"/>
        <w:ind w:left="227"/>
        <w:contextualSpacing/>
        <w:rPr>
          <w:rFonts w:ascii="宋体" w:hAnsi="宋体" w:cs="宋体"/>
          <w:w w:val="90"/>
          <w:sz w:val="30"/>
          <w:szCs w:val="30"/>
        </w:rPr>
      </w:pPr>
      <w:r>
        <w:rPr>
          <w:rFonts w:hint="eastAsia" w:ascii="宋体" w:hAnsi="宋体" w:cs="宋体"/>
          <w:w w:val="90"/>
          <w:sz w:val="30"/>
          <w:szCs w:val="30"/>
        </w:rPr>
        <w:t>c、三层功能由病房修改为门诊，四层功能由病房修改为体检中心。</w:t>
      </w:r>
    </w:p>
    <w:p>
      <w:pPr>
        <w:tabs>
          <w:tab w:val="left" w:pos="283"/>
        </w:tabs>
        <w:spacing w:line="425" w:lineRule="exact"/>
        <w:ind w:left="227"/>
        <w:contextualSpacing/>
        <w:rPr>
          <w:rFonts w:hint="eastAsia" w:ascii="宋体" w:hAnsi="宋体" w:cs="宋体"/>
          <w:w w:val="90"/>
          <w:sz w:val="30"/>
          <w:szCs w:val="30"/>
        </w:rPr>
      </w:pPr>
      <w:r>
        <w:rPr>
          <w:rFonts w:hint="eastAsia" w:ascii="宋体" w:hAnsi="宋体" w:cs="宋体"/>
          <w:w w:val="90"/>
          <w:sz w:val="30"/>
          <w:szCs w:val="30"/>
        </w:rPr>
        <w:t>电气相应改造。</w:t>
      </w:r>
    </w:p>
    <w:p>
      <w:pPr>
        <w:pStyle w:val="12"/>
        <w:numPr>
          <w:ilvl w:val="0"/>
          <w:numId w:val="2"/>
        </w:numPr>
        <w:tabs>
          <w:tab w:val="left" w:pos="283"/>
        </w:tabs>
        <w:spacing w:line="425" w:lineRule="exact"/>
        <w:ind w:firstLineChars="0"/>
        <w:contextualSpacing/>
        <w:rPr>
          <w:rFonts w:ascii="宋体" w:hAnsi="宋体" w:cs="宋体"/>
          <w:w w:val="90"/>
          <w:sz w:val="30"/>
          <w:szCs w:val="30"/>
        </w:rPr>
      </w:pPr>
      <w:r>
        <w:rPr>
          <w:rFonts w:hint="eastAsia" w:ascii="宋体" w:hAnsi="宋体" w:cs="宋体"/>
          <w:w w:val="90"/>
          <w:sz w:val="30"/>
          <w:szCs w:val="30"/>
        </w:rPr>
        <w:t>改造前建筑功能为医护楼，改造后建筑功能不变，建筑面积无变化。</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相关专业提供给本专业的工程设计资料。</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各市政主管部门对初步设计的审批意见。</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甲方提供的设计任务书及设计要求。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国家现行的主要规范、规程及相关行业标准：</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《建筑工程设计文件编制深度规定》2016年版,建质函[2016]247号；</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《供配电系统设计规范》GB 50052-2009；</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《低压配电设计规范》GB 50054-2011；</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《通用用电设备配电设计规范》GB 50055-2011；</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《电力工程电缆设计标准》GB 50217-2018；</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《建筑物防雷设计规范》GB 50057-2010；</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《建筑物电子信息系统防雷技术规范》GB 500343-2012；</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《建筑照明设计标准》GB 50034-2013；</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《民用建筑电气设计标准》GB 51348-2019；</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《消防应急照明和疏散指示系统技术标准》GB 51309-2018；</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《建筑设计防火规范》GB 50016-2014(2018年版)；</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《综合医院建筑设计规范》</w:t>
      </w:r>
      <w:r>
        <w:rPr>
          <w:rFonts w:ascii="宋体" w:hAnsi="宋体" w:cs="宋体"/>
          <w:w w:val="90"/>
          <w:sz w:val="30"/>
          <w:szCs w:val="30"/>
        </w:rPr>
        <w:t>GB 51039-2014</w:t>
      </w:r>
      <w:r>
        <w:rPr>
          <w:rFonts w:hint="eastAsia" w:ascii="宋体" w:hAnsi="宋体" w:cs="宋体"/>
          <w:w w:val="90"/>
          <w:sz w:val="30"/>
          <w:szCs w:val="30"/>
        </w:rPr>
        <w:t>；</w:t>
      </w:r>
    </w:p>
    <w:p>
      <w:pPr>
        <w:tabs>
          <w:tab w:val="left" w:pos="349"/>
        </w:tabs>
        <w:spacing w:line="425" w:lineRule="exact"/>
        <w:ind w:left="352"/>
        <w:contextualSpacing/>
        <w:rPr>
          <w:rFonts w:ascii="宋体" w:hAnsi="宋体" w:cs="宋体"/>
          <w:w w:val="90"/>
          <w:sz w:val="30"/>
          <w:szCs w:val="30"/>
        </w:rPr>
      </w:pPr>
      <w:r>
        <w:rPr>
          <w:rFonts w:hint="eastAsia" w:ascii="宋体" w:hAnsi="宋体" w:cs="宋体"/>
          <w:w w:val="90"/>
          <w:sz w:val="30"/>
          <w:szCs w:val="30"/>
        </w:rPr>
        <w:t>《医疗建筑电气设计规范》JGJ 312-2013；</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《建筑抗震设计规范》GB 50011-2010；</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《建筑机电工程抗震设计规范》GB 50981-2014；</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《公共建筑节能设计标准》GB 50189-2015；</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《建筑内部装修设计防火规范》GB 50222-2017；</w:t>
      </w:r>
    </w:p>
    <w:p>
      <w:pPr>
        <w:tabs>
          <w:tab w:val="left" w:pos="349"/>
        </w:tabs>
        <w:spacing w:line="425" w:lineRule="exact"/>
        <w:ind w:left="349"/>
        <w:contextualSpacing/>
        <w:rPr>
          <w:rFonts w:ascii="宋体" w:hAnsi="宋体" w:cs="宋体"/>
          <w:w w:val="90"/>
          <w:sz w:val="30"/>
          <w:szCs w:val="30"/>
        </w:rPr>
      </w:pPr>
      <w:r>
        <w:rPr>
          <w:rFonts w:ascii="宋体" w:hAnsi="宋体" w:cs="宋体"/>
          <w:w w:val="90"/>
          <w:sz w:val="30"/>
          <w:szCs w:val="30"/>
        </w:rPr>
        <w:t>《建筑环境通用规范》GB</w:t>
      </w:r>
      <w:r>
        <w:rPr>
          <w:rFonts w:hint="eastAsia" w:ascii="宋体" w:hAnsi="宋体" w:cs="宋体"/>
          <w:w w:val="90"/>
          <w:sz w:val="30"/>
          <w:szCs w:val="30"/>
        </w:rPr>
        <w:t xml:space="preserve"> </w:t>
      </w:r>
      <w:r>
        <w:rPr>
          <w:rFonts w:ascii="宋体" w:hAnsi="宋体" w:cs="宋体"/>
          <w:w w:val="90"/>
          <w:sz w:val="30"/>
          <w:szCs w:val="30"/>
        </w:rPr>
        <w:t>55016-2021</w:t>
      </w:r>
      <w:r>
        <w:rPr>
          <w:rFonts w:hint="eastAsia" w:ascii="宋体" w:hAnsi="宋体" w:cs="宋体"/>
          <w:w w:val="90"/>
          <w:sz w:val="30"/>
          <w:szCs w:val="30"/>
        </w:rPr>
        <w:t>；</w:t>
      </w:r>
    </w:p>
    <w:p>
      <w:pPr>
        <w:tabs>
          <w:tab w:val="left" w:pos="349"/>
        </w:tabs>
        <w:spacing w:line="425" w:lineRule="exact"/>
        <w:ind w:left="349"/>
        <w:contextualSpacing/>
        <w:rPr>
          <w:rFonts w:ascii="宋体" w:hAnsi="宋体" w:cs="宋体"/>
          <w:w w:val="90"/>
          <w:sz w:val="30"/>
          <w:szCs w:val="30"/>
        </w:rPr>
      </w:pPr>
      <w:r>
        <w:rPr>
          <w:rFonts w:ascii="宋体" w:hAnsi="宋体" w:cs="宋体"/>
          <w:w w:val="90"/>
          <w:sz w:val="30"/>
          <w:szCs w:val="30"/>
        </w:rPr>
        <w:t>《建筑节能与可再生能源利用通用规范》</w:t>
      </w:r>
      <w:r>
        <w:rPr>
          <w:rFonts w:hint="eastAsia" w:ascii="宋体" w:hAnsi="宋体" w:cs="宋体"/>
          <w:w w:val="90"/>
          <w:sz w:val="30"/>
          <w:szCs w:val="30"/>
        </w:rPr>
        <w:t>GB 55015-2021；</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《建筑电气与智能化通用规范》GB 55024-2022；</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《建筑与市政工程抗震通用规范》GB 55002-2021；</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《建筑与市政工程无障碍通用规范》GB55019-2021；</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《消防设施通用规范》GB 55036-2022；</w:t>
      </w:r>
    </w:p>
    <w:p>
      <w:pPr>
        <w:tabs>
          <w:tab w:val="left" w:pos="349"/>
        </w:tabs>
        <w:spacing w:line="425" w:lineRule="exact"/>
        <w:ind w:left="349"/>
        <w:contextualSpacing/>
        <w:rPr>
          <w:rFonts w:ascii="宋体" w:hAnsi="宋体" w:cs="宋体"/>
          <w:w w:val="90"/>
          <w:sz w:val="30"/>
          <w:szCs w:val="30"/>
        </w:rPr>
      </w:pPr>
      <w:r>
        <w:rPr>
          <w:rFonts w:hint="eastAsia" w:ascii="宋体" w:hAnsi="宋体" w:cs="宋体"/>
          <w:w w:val="90"/>
          <w:sz w:val="30"/>
          <w:szCs w:val="30"/>
        </w:rPr>
        <w:t>其它相关规范及标准。</w:t>
      </w:r>
    </w:p>
    <w:p>
      <w:pPr>
        <w:tabs>
          <w:tab w:val="left" w:pos="349"/>
        </w:tabs>
        <w:spacing w:line="425" w:lineRule="exact"/>
        <w:contextualSpacing/>
        <w:rPr>
          <w:rFonts w:ascii="宋体" w:hAnsi="宋体" w:cs="宋体"/>
          <w:sz w:val="28"/>
          <w:szCs w:val="28"/>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设计范围</w:t>
      </w:r>
    </w:p>
    <w:p>
      <w:pPr>
        <w:spacing w:line="425" w:lineRule="exact"/>
        <w:ind w:left="567"/>
        <w:contextualSpacing/>
        <w:rPr>
          <w:rFonts w:ascii="宋体" w:hAnsi="宋体" w:cs="宋体"/>
          <w:w w:val="90"/>
          <w:sz w:val="30"/>
          <w:szCs w:val="30"/>
        </w:rPr>
      </w:pPr>
      <w:r>
        <w:rPr>
          <w:rFonts w:hint="eastAsia" w:ascii="宋体" w:hAnsi="宋体" w:cs="宋体"/>
          <w:w w:val="90"/>
          <w:sz w:val="30"/>
          <w:szCs w:val="30"/>
        </w:rPr>
        <w:t>本工程设计包括建设红线内的以下内容：</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配电系统</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照明系统</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接地及安全措施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电气节能及环保措施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电气消防系统</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智能化系统</w:t>
      </w:r>
    </w:p>
    <w:p>
      <w:pPr>
        <w:tabs>
          <w:tab w:val="left" w:pos="349"/>
        </w:tabs>
        <w:spacing w:line="425" w:lineRule="exact"/>
        <w:ind w:left="349"/>
        <w:contextualSpacing/>
        <w:rPr>
          <w:rFonts w:ascii="宋体" w:hAnsi="宋体" w:cs="宋体"/>
          <w:w w:val="90"/>
          <w:sz w:val="30"/>
          <w:szCs w:val="30"/>
          <w:u w:val="single"/>
        </w:rPr>
      </w:pPr>
      <w:r>
        <w:rPr>
          <w:rFonts w:hint="eastAsia" w:ascii="宋体" w:hAnsi="宋体" w:cs="宋体"/>
          <w:w w:val="90"/>
          <w:sz w:val="30"/>
          <w:szCs w:val="30"/>
        </w:rPr>
        <w:t>注：</w:t>
      </w:r>
      <w:r>
        <w:rPr>
          <w:rFonts w:hint="eastAsia" w:ascii="宋体" w:hAnsi="宋体" w:cs="宋体"/>
          <w:w w:val="90"/>
          <w:sz w:val="30"/>
          <w:szCs w:val="30"/>
          <w:u w:val="single"/>
        </w:rPr>
        <w:t>*电气消防、智能化系统等另见专项说明，抢救室、CT室、</w:t>
      </w:r>
      <w:r>
        <w:rPr>
          <w:rFonts w:ascii="宋体" w:hAnsi="宋体" w:cs="宋体"/>
          <w:w w:val="90"/>
          <w:sz w:val="30"/>
          <w:szCs w:val="30"/>
          <w:u w:val="single"/>
        </w:rPr>
        <w:t>DR</w:t>
      </w:r>
      <w:r>
        <w:rPr>
          <w:rFonts w:hint="eastAsia" w:ascii="宋体" w:hAnsi="宋体" w:cs="宋体"/>
          <w:w w:val="90"/>
          <w:sz w:val="30"/>
          <w:szCs w:val="30"/>
          <w:u w:val="single"/>
        </w:rPr>
        <w:t>室等区域由医疗专业负责，另外见医疗专业图纸。</w:t>
      </w:r>
    </w:p>
    <w:p>
      <w:pPr>
        <w:tabs>
          <w:tab w:val="left" w:pos="349"/>
        </w:tabs>
        <w:spacing w:line="425" w:lineRule="exact"/>
        <w:contextualSpacing/>
        <w:rPr>
          <w:rFonts w:ascii="宋体" w:hAnsi="宋体" w:cs="宋体"/>
          <w:w w:val="90"/>
          <w:sz w:val="30"/>
          <w:szCs w:val="30"/>
          <w:u w:val="single"/>
        </w:rPr>
      </w:pPr>
      <w:r>
        <w:rPr>
          <w:rFonts w:hint="eastAsia" w:ascii="宋体" w:hAnsi="宋体" w:cs="宋体"/>
          <w:w w:val="90"/>
          <w:sz w:val="30"/>
          <w:szCs w:val="30"/>
        </w:rPr>
        <w:t xml:space="preserve">       </w:t>
      </w: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与相关专业、专项的技术接口要求</w:t>
      </w:r>
    </w:p>
    <w:p>
      <w:pPr>
        <w:numPr>
          <w:ilvl w:val="1"/>
          <w:numId w:val="1"/>
        </w:numPr>
        <w:tabs>
          <w:tab w:val="left" w:pos="283"/>
        </w:tabs>
        <w:spacing w:line="425" w:lineRule="exact"/>
        <w:contextualSpacing/>
        <w:rPr>
          <w:rFonts w:ascii="宋体" w:hAnsi="宋体" w:cs="宋体"/>
          <w:w w:val="90"/>
          <w:sz w:val="30"/>
          <w:szCs w:val="30"/>
        </w:rPr>
      </w:pPr>
      <w:r>
        <w:rPr>
          <w:rFonts w:hint="eastAsia" w:ascii="宋体" w:hAnsi="宋体" w:cs="宋体"/>
          <w:w w:val="90"/>
          <w:sz w:val="30"/>
          <w:szCs w:val="30"/>
        </w:rPr>
        <w:t>原有情况：该栋建筑于2017年竣工，建筑内各类电气设备及线缆状况良好，变压器负载率较低。本次改造照明、空调等用电考虑利用建筑物原有电缆进线供电，新增医疗设备用电从电房新拉两路进线（主备供）。改造范围内配电系统属本次设计范围。</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设计图纸中所标注的设备型号仅表示设计选型设备的主要性能技术指标，而非指定采用之产品型号。建设方可根据相关法律法规、项目需求和建设管理程序，以及设计文件所提供的设备型号规格所对应的主要性能技术指标，选择满足设计要求的相应产品。</w:t>
      </w:r>
    </w:p>
    <w:p>
      <w:pPr>
        <w:tabs>
          <w:tab w:val="left" w:pos="283"/>
        </w:tabs>
        <w:spacing w:line="425" w:lineRule="exact"/>
        <w:ind w:left="113"/>
        <w:contextualSpacing/>
        <w:rPr>
          <w:rFonts w:ascii="宋体" w:hAnsi="宋体" w:cs="宋体"/>
          <w:sz w:val="32"/>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负荷等级及供电电源</w:t>
      </w:r>
    </w:p>
    <w:p>
      <w:pPr>
        <w:numPr>
          <w:ilvl w:val="1"/>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本工程用电负荷包含</w:t>
      </w:r>
      <w:r>
        <w:rPr>
          <w:rFonts w:hint="eastAsia" w:ascii="宋体" w:hAnsi="宋体" w:cs="宋体"/>
          <w:w w:val="90"/>
          <w:sz w:val="30"/>
          <w:szCs w:val="30"/>
          <w:u w:val="single"/>
        </w:rPr>
        <w:t xml:space="preserve"> 一、二、三</w:t>
      </w:r>
      <w:r>
        <w:rPr>
          <w:rFonts w:hint="eastAsia" w:ascii="宋体" w:hAnsi="宋体" w:cs="宋体"/>
          <w:w w:val="90"/>
          <w:sz w:val="30"/>
          <w:szCs w:val="30"/>
        </w:rPr>
        <w:t>级负荷。</w:t>
      </w:r>
    </w:p>
    <w:p>
      <w:pPr>
        <w:numPr>
          <w:ilvl w:val="2"/>
          <w:numId w:val="1"/>
        </w:numPr>
        <w:tabs>
          <w:tab w:val="left" w:pos="720"/>
        </w:tabs>
        <w:spacing w:line="425" w:lineRule="exact"/>
        <w:ind w:left="227"/>
        <w:contextualSpacing/>
        <w:rPr>
          <w:rFonts w:ascii="宋体" w:hAnsi="宋体" w:cs="宋体"/>
          <w:w w:val="90"/>
          <w:sz w:val="30"/>
          <w:szCs w:val="30"/>
        </w:rPr>
      </w:pPr>
      <w:r>
        <w:rPr>
          <w:rFonts w:hint="eastAsia" w:ascii="宋体" w:hAnsi="宋体" w:cs="宋体"/>
          <w:w w:val="90"/>
          <w:sz w:val="30"/>
          <w:szCs w:val="30"/>
        </w:rPr>
        <w:t>一级负荷：抢救室、手术室等场所中除一级负荷中特别重要负荷的其他用电设备。二级负荷：防排烟风机、消防应急照明等消防用电；影像科诊断设备用电。计算机网络系统、信息系统用电；安防系统用电。</w:t>
      </w:r>
    </w:p>
    <w:p>
      <w:pPr>
        <w:numPr>
          <w:ilvl w:val="2"/>
          <w:numId w:val="1"/>
        </w:numPr>
        <w:tabs>
          <w:tab w:val="left" w:pos="720"/>
        </w:tabs>
        <w:spacing w:line="425" w:lineRule="exact"/>
        <w:contextualSpacing/>
        <w:rPr>
          <w:rFonts w:ascii="宋体" w:hAnsi="宋体" w:cs="宋体"/>
          <w:w w:val="90"/>
          <w:sz w:val="30"/>
          <w:szCs w:val="30"/>
        </w:rPr>
      </w:pPr>
      <w:r>
        <w:rPr>
          <w:rFonts w:hint="eastAsia" w:ascii="宋体" w:hAnsi="宋体" w:cs="宋体"/>
          <w:w w:val="90"/>
          <w:sz w:val="30"/>
          <w:szCs w:val="30"/>
        </w:rPr>
        <w:t>三级负荷：除一、 二级负荷以外的其它负荷为三级负荷。</w:t>
      </w: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负荷统计</w:t>
      </w:r>
    </w:p>
    <w:p>
      <w:pPr>
        <w:numPr>
          <w:ilvl w:val="1"/>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负荷指标</w:t>
      </w:r>
    </w:p>
    <w:p>
      <w:pPr>
        <w:numPr>
          <w:ilvl w:val="2"/>
          <w:numId w:val="1"/>
        </w:numPr>
        <w:tabs>
          <w:tab w:val="left" w:pos="720"/>
          <w:tab w:val="clear" w:pos="0"/>
        </w:tabs>
        <w:spacing w:line="425" w:lineRule="exact"/>
        <w:contextualSpacing/>
        <w:rPr>
          <w:rFonts w:ascii="宋体" w:hAnsi="宋体" w:cs="宋体"/>
          <w:w w:val="90"/>
          <w:sz w:val="30"/>
          <w:szCs w:val="30"/>
          <w:u w:val="single"/>
        </w:rPr>
      </w:pPr>
      <w:r>
        <w:rPr>
          <w:rFonts w:hint="eastAsia" w:ascii="宋体" w:hAnsi="宋体" w:cs="宋体"/>
          <w:w w:val="90"/>
          <w:sz w:val="30"/>
          <w:szCs w:val="30"/>
        </w:rPr>
        <w:t>具体部位的用电容量根据建设方及顾问提供的设计任务书、设计指引等以及各专业提资要求确定。</w:t>
      </w:r>
    </w:p>
    <w:p>
      <w:pPr>
        <w:numPr>
          <w:ilvl w:val="1"/>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u w:val="single"/>
        </w:rPr>
        <w:t>本工程用电设备容量（Pe）共</w:t>
      </w:r>
      <w:r>
        <w:rPr>
          <w:rFonts w:ascii="宋体" w:hAnsi="宋体" w:cs="宋体"/>
          <w:w w:val="90"/>
          <w:sz w:val="30"/>
          <w:szCs w:val="30"/>
          <w:u w:val="single"/>
        </w:rPr>
        <w:t>743</w:t>
      </w:r>
      <w:r>
        <w:rPr>
          <w:rFonts w:hint="eastAsia" w:ascii="宋体" w:hAnsi="宋体" w:cs="宋体"/>
          <w:w w:val="90"/>
          <w:sz w:val="30"/>
          <w:szCs w:val="30"/>
          <w:u w:val="single"/>
        </w:rPr>
        <w:t xml:space="preserve"> kW，其中一级负荷</w:t>
      </w:r>
      <w:r>
        <w:rPr>
          <w:rFonts w:ascii="宋体" w:hAnsi="宋体" w:cs="宋体"/>
          <w:w w:val="90"/>
          <w:sz w:val="30"/>
          <w:szCs w:val="30"/>
          <w:u w:val="single"/>
        </w:rPr>
        <w:t>13</w:t>
      </w:r>
      <w:r>
        <w:rPr>
          <w:rFonts w:hint="eastAsia" w:ascii="宋体" w:hAnsi="宋体" w:cs="宋体"/>
          <w:w w:val="90"/>
          <w:sz w:val="30"/>
          <w:szCs w:val="30"/>
          <w:u w:val="single"/>
        </w:rPr>
        <w:t xml:space="preserve"> kW，二级负荷</w:t>
      </w:r>
      <w:r>
        <w:rPr>
          <w:rFonts w:ascii="宋体" w:hAnsi="宋体" w:cs="宋体"/>
          <w:w w:val="90"/>
          <w:sz w:val="30"/>
          <w:szCs w:val="30"/>
          <w:u w:val="single"/>
        </w:rPr>
        <w:t>285</w:t>
      </w:r>
      <w:r>
        <w:rPr>
          <w:rFonts w:hint="eastAsia" w:ascii="宋体" w:hAnsi="宋体" w:cs="宋体"/>
          <w:w w:val="90"/>
          <w:sz w:val="30"/>
          <w:szCs w:val="30"/>
          <w:u w:val="single"/>
        </w:rPr>
        <w:t xml:space="preserve"> kW，三级负荷</w:t>
      </w:r>
      <w:r>
        <w:rPr>
          <w:rFonts w:ascii="宋体" w:hAnsi="宋体" w:cs="宋体"/>
          <w:w w:val="90"/>
          <w:sz w:val="30"/>
          <w:szCs w:val="30"/>
          <w:u w:val="single"/>
        </w:rPr>
        <w:t>445</w:t>
      </w:r>
      <w:r>
        <w:rPr>
          <w:rFonts w:hint="eastAsia" w:ascii="宋体" w:hAnsi="宋体" w:cs="宋体"/>
          <w:w w:val="90"/>
          <w:sz w:val="30"/>
          <w:szCs w:val="30"/>
          <w:u w:val="single"/>
        </w:rPr>
        <w:t>kW；计算容量（Pc）共</w:t>
      </w:r>
      <w:r>
        <w:rPr>
          <w:rFonts w:ascii="宋体" w:hAnsi="宋体" w:cs="宋体"/>
          <w:w w:val="90"/>
          <w:sz w:val="30"/>
          <w:szCs w:val="30"/>
          <w:u w:val="single"/>
        </w:rPr>
        <w:t>506.1</w:t>
      </w:r>
      <w:r>
        <w:rPr>
          <w:rFonts w:hint="eastAsia" w:ascii="宋体" w:hAnsi="宋体" w:cs="宋体"/>
          <w:w w:val="90"/>
          <w:sz w:val="30"/>
          <w:szCs w:val="30"/>
          <w:u w:val="single"/>
        </w:rPr>
        <w:t>kW。</w:t>
      </w:r>
    </w:p>
    <w:p>
      <w:pPr>
        <w:tabs>
          <w:tab w:val="left" w:pos="720"/>
        </w:tabs>
        <w:spacing w:line="425" w:lineRule="exact"/>
        <w:ind w:left="227"/>
        <w:contextualSpacing/>
        <w:rPr>
          <w:rFonts w:ascii="宋体" w:hAnsi="宋体" w:cs="宋体"/>
          <w:w w:val="90"/>
          <w:sz w:val="30"/>
          <w:szCs w:val="30"/>
        </w:rPr>
      </w:pPr>
    </w:p>
    <w:p>
      <w:pPr>
        <w:numPr>
          <w:ilvl w:val="1"/>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应急备用电源设置：</w:t>
      </w:r>
    </w:p>
    <w:p>
      <w:pPr>
        <w:tabs>
          <w:tab w:val="left" w:pos="720"/>
        </w:tabs>
        <w:spacing w:line="425" w:lineRule="exact"/>
        <w:contextualSpacing/>
        <w:rPr>
          <w:rFonts w:ascii="宋体" w:hAnsi="Times New Roman" w:cs="宋体"/>
          <w:kern w:val="0"/>
          <w:sz w:val="30"/>
          <w:szCs w:val="30"/>
        </w:rPr>
      </w:pPr>
      <w:r>
        <w:rPr>
          <w:rFonts w:hint="eastAsia" w:ascii="宋体" w:hAnsi="Times New Roman" w:cs="宋体"/>
          <w:kern w:val="0"/>
          <w:sz w:val="30"/>
          <w:szCs w:val="30"/>
        </w:rPr>
        <w:t>院区已设置一台600</w:t>
      </w:r>
      <w:r>
        <w:rPr>
          <w:rFonts w:ascii="宋体" w:hAnsi="Times New Roman" w:cs="宋体"/>
          <w:kern w:val="0"/>
          <w:sz w:val="30"/>
          <w:szCs w:val="30"/>
        </w:rPr>
        <w:t>Kw</w:t>
      </w:r>
      <w:r>
        <w:rPr>
          <w:rFonts w:hint="eastAsia" w:ascii="宋体" w:hAnsi="Times New Roman" w:cs="宋体"/>
          <w:kern w:val="0"/>
          <w:sz w:val="30"/>
          <w:szCs w:val="30"/>
        </w:rPr>
        <w:t>柴油发电机组。</w:t>
      </w:r>
    </w:p>
    <w:p>
      <w:pPr>
        <w:tabs>
          <w:tab w:val="left" w:pos="720"/>
        </w:tabs>
        <w:spacing w:line="425" w:lineRule="exact"/>
        <w:contextualSpacing/>
        <w:rPr>
          <w:rFonts w:ascii="宋体" w:hAnsi="宋体" w:cs="宋体"/>
          <w:w w:val="90"/>
          <w:sz w:val="30"/>
          <w:szCs w:val="30"/>
        </w:rPr>
      </w:pPr>
      <w:r>
        <w:rPr>
          <w:rFonts w:hint="eastAsia" w:ascii="宋体" w:hAnsi="宋体" w:cs="宋体"/>
          <w:w w:val="90"/>
          <w:sz w:val="30"/>
          <w:szCs w:val="30"/>
        </w:rPr>
        <w:t>一级负荷中特别重要负荷：由两路电源（市电+发电机）末端切换，并设置在线式UPS供电。</w:t>
      </w:r>
    </w:p>
    <w:p>
      <w:pPr>
        <w:tabs>
          <w:tab w:val="left" w:pos="720"/>
        </w:tabs>
        <w:spacing w:line="425" w:lineRule="exact"/>
        <w:ind w:left="340"/>
        <w:contextualSpacing/>
        <w:rPr>
          <w:rFonts w:ascii="宋体" w:hAnsi="宋体" w:cs="宋体"/>
          <w:w w:val="90"/>
          <w:sz w:val="30"/>
          <w:szCs w:val="30"/>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配电系统</w:t>
      </w:r>
    </w:p>
    <w:p>
      <w:pPr>
        <w:numPr>
          <w:ilvl w:val="1"/>
          <w:numId w:val="1"/>
        </w:numPr>
        <w:tabs>
          <w:tab w:val="left" w:pos="567"/>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配电系统</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采用380/220V三相四线制供电。</w:t>
      </w:r>
    </w:p>
    <w:p>
      <w:pPr>
        <w:numPr>
          <w:ilvl w:val="2"/>
          <w:numId w:val="1"/>
        </w:numPr>
        <w:tabs>
          <w:tab w:val="left" w:pos="720"/>
          <w:tab w:val="clear" w:pos="0"/>
        </w:tabs>
        <w:spacing w:line="425" w:lineRule="exact"/>
        <w:ind w:hanging="113"/>
        <w:contextualSpacing/>
        <w:rPr>
          <w:rFonts w:ascii="宋体" w:hAnsi="宋体" w:cs="宋体"/>
          <w:w w:val="90"/>
          <w:sz w:val="30"/>
          <w:szCs w:val="30"/>
        </w:rPr>
      </w:pPr>
      <w:r>
        <w:rPr>
          <w:rFonts w:hint="eastAsia" w:ascii="宋体" w:hAnsi="宋体" w:cs="宋体"/>
          <w:w w:val="90"/>
          <w:sz w:val="30"/>
          <w:szCs w:val="30"/>
        </w:rPr>
        <w:t>采用</w:t>
      </w:r>
      <w:r>
        <w:rPr>
          <w:rFonts w:hint="eastAsia" w:ascii="宋体" w:hAnsi="宋体" w:cs="宋体"/>
          <w:w w:val="90"/>
          <w:sz w:val="30"/>
          <w:szCs w:val="30"/>
          <w:u w:val="single"/>
        </w:rPr>
        <w:t xml:space="preserve">TN-S </w:t>
      </w:r>
      <w:r>
        <w:rPr>
          <w:rFonts w:hint="eastAsia" w:ascii="宋体" w:hAnsi="宋体" w:cs="宋体"/>
          <w:w w:val="90"/>
          <w:sz w:val="30"/>
          <w:szCs w:val="30"/>
        </w:rPr>
        <w:t>接地系统，</w:t>
      </w:r>
      <w:r>
        <w:rPr>
          <w:rFonts w:hint="eastAsia"/>
        </w:rPr>
        <w:t xml:space="preserve"> </w:t>
      </w:r>
      <w:r>
        <w:rPr>
          <w:rFonts w:hint="eastAsia" w:ascii="宋体" w:hAnsi="宋体" w:cs="宋体"/>
          <w:w w:val="90"/>
          <w:sz w:val="30"/>
          <w:szCs w:val="30"/>
        </w:rPr>
        <w:t>局部采用医疗IT系统（由医疗专项负责）。</w:t>
      </w:r>
    </w:p>
    <w:p>
      <w:pPr>
        <w:numPr>
          <w:ilvl w:val="2"/>
          <w:numId w:val="1"/>
        </w:numPr>
        <w:tabs>
          <w:tab w:val="left" w:pos="720"/>
          <w:tab w:val="clear" w:pos="0"/>
        </w:tabs>
        <w:spacing w:line="425" w:lineRule="exact"/>
        <w:ind w:hanging="113"/>
        <w:contextualSpacing/>
        <w:rPr>
          <w:rFonts w:ascii="宋体" w:hAnsi="宋体" w:cs="宋体"/>
          <w:w w:val="90"/>
          <w:sz w:val="30"/>
          <w:szCs w:val="30"/>
        </w:rPr>
      </w:pPr>
      <w:r>
        <w:rPr>
          <w:rFonts w:ascii="宋体" w:hAnsi="宋体" w:cs="宋体"/>
          <w:bCs/>
          <w:w w:val="90"/>
          <w:sz w:val="30"/>
          <w:szCs w:val="30"/>
        </w:rPr>
        <w:t>在2类医疗场所中维持患者生命、外科手术和其他位于“患者区域”范围内的电气装置和供电的回路，均应采用医用IT系统。当采用医用IT系统时，应符合下列要求：多个功能相同的毗邻房间，应至少安装1个独立的医用IT系统。</w:t>
      </w:r>
    </w:p>
    <w:p>
      <w:pPr>
        <w:numPr>
          <w:ilvl w:val="2"/>
          <w:numId w:val="1"/>
        </w:numPr>
        <w:tabs>
          <w:tab w:val="left" w:pos="720"/>
          <w:tab w:val="clear" w:pos="0"/>
        </w:tabs>
        <w:spacing w:line="425" w:lineRule="exact"/>
        <w:ind w:hanging="113"/>
        <w:contextualSpacing/>
        <w:rPr>
          <w:rFonts w:ascii="宋体" w:hAnsi="宋体" w:cs="宋体"/>
          <w:w w:val="90"/>
          <w:sz w:val="30"/>
          <w:szCs w:val="30"/>
        </w:rPr>
      </w:pPr>
      <w:r>
        <w:rPr>
          <w:rFonts w:ascii="宋体" w:hAnsi="宋体" w:cs="宋体"/>
          <w:bCs/>
          <w:w w:val="90"/>
          <w:sz w:val="30"/>
          <w:szCs w:val="30"/>
        </w:rPr>
        <w:t>医用IT系统必须配置绝缘监视器，并应符合下列要求：</w:t>
      </w:r>
      <w:r>
        <w:rPr>
          <w:rFonts w:ascii="宋体" w:hAnsi="宋体" w:cs="宋体"/>
          <w:w w:val="90"/>
          <w:sz w:val="30"/>
          <w:szCs w:val="30"/>
        </w:rPr>
        <w:br w:type="textWrapping"/>
      </w:r>
      <w:r>
        <w:rPr>
          <w:rFonts w:ascii="宋体" w:hAnsi="宋体" w:cs="宋体"/>
          <w:w w:val="90"/>
          <w:sz w:val="30"/>
          <w:szCs w:val="30"/>
        </w:rPr>
        <w:t xml:space="preserve">    </w:t>
      </w:r>
      <w:r>
        <w:rPr>
          <w:rFonts w:ascii="宋体" w:hAnsi="宋体" w:cs="宋体"/>
          <w:bCs/>
          <w:w w:val="90"/>
          <w:sz w:val="30"/>
          <w:szCs w:val="30"/>
        </w:rPr>
        <w:t>1)交流内阻应大于或等于100kΩ；</w:t>
      </w:r>
      <w:r>
        <w:rPr>
          <w:rFonts w:ascii="宋体" w:hAnsi="宋体" w:cs="宋体"/>
          <w:w w:val="90"/>
          <w:sz w:val="30"/>
          <w:szCs w:val="30"/>
        </w:rPr>
        <w:br w:type="textWrapping"/>
      </w:r>
      <w:r>
        <w:rPr>
          <w:rFonts w:ascii="宋体" w:hAnsi="宋体" w:cs="宋体"/>
          <w:w w:val="90"/>
          <w:sz w:val="30"/>
          <w:szCs w:val="30"/>
        </w:rPr>
        <w:t xml:space="preserve">    </w:t>
      </w:r>
      <w:r>
        <w:rPr>
          <w:rFonts w:ascii="宋体" w:hAnsi="宋体" w:cs="宋体"/>
          <w:bCs/>
          <w:w w:val="90"/>
          <w:sz w:val="30"/>
          <w:szCs w:val="30"/>
        </w:rPr>
        <w:t>2)测试电压不应大于直流25V；</w:t>
      </w:r>
      <w:r>
        <w:rPr>
          <w:rFonts w:ascii="宋体" w:hAnsi="宋体" w:cs="宋体"/>
          <w:w w:val="90"/>
          <w:sz w:val="30"/>
          <w:szCs w:val="30"/>
        </w:rPr>
        <w:br w:type="textWrapping"/>
      </w:r>
      <w:r>
        <w:rPr>
          <w:rFonts w:ascii="宋体" w:hAnsi="宋体" w:cs="宋体"/>
          <w:w w:val="90"/>
          <w:sz w:val="30"/>
          <w:szCs w:val="30"/>
        </w:rPr>
        <w:t xml:space="preserve">    </w:t>
      </w:r>
      <w:r>
        <w:rPr>
          <w:rFonts w:ascii="宋体" w:hAnsi="宋体" w:cs="宋体"/>
          <w:bCs/>
          <w:w w:val="90"/>
          <w:sz w:val="30"/>
          <w:szCs w:val="30"/>
        </w:rPr>
        <w:t>3)在任何故障条件下，测试电流峰值不应大于1mA；</w:t>
      </w:r>
      <w:r>
        <w:rPr>
          <w:rFonts w:ascii="宋体" w:hAnsi="宋体" w:cs="宋体"/>
          <w:w w:val="90"/>
          <w:sz w:val="30"/>
          <w:szCs w:val="30"/>
        </w:rPr>
        <w:br w:type="textWrapping"/>
      </w:r>
      <w:r>
        <w:rPr>
          <w:rFonts w:ascii="宋体" w:hAnsi="宋体" w:cs="宋体"/>
          <w:w w:val="90"/>
          <w:sz w:val="30"/>
          <w:szCs w:val="30"/>
        </w:rPr>
        <w:t xml:space="preserve">    </w:t>
      </w:r>
      <w:r>
        <w:rPr>
          <w:rFonts w:ascii="宋体" w:hAnsi="宋体" w:cs="宋体"/>
          <w:bCs/>
          <w:w w:val="90"/>
          <w:sz w:val="30"/>
          <w:szCs w:val="30"/>
        </w:rPr>
        <w:t>4)当电阻减少到50kΩ时应发出信号，并备有试验设施。</w:t>
      </w:r>
    </w:p>
    <w:p>
      <w:pPr>
        <w:numPr>
          <w:ilvl w:val="2"/>
          <w:numId w:val="1"/>
        </w:numPr>
        <w:tabs>
          <w:tab w:val="left" w:pos="720"/>
          <w:tab w:val="clear" w:pos="0"/>
        </w:tabs>
        <w:spacing w:line="425" w:lineRule="exact"/>
        <w:ind w:hanging="113"/>
        <w:contextualSpacing/>
        <w:rPr>
          <w:rFonts w:ascii="宋体" w:hAnsi="宋体" w:cs="宋体"/>
          <w:w w:val="90"/>
          <w:sz w:val="30"/>
          <w:szCs w:val="30"/>
        </w:rPr>
      </w:pPr>
      <w:r>
        <w:rPr>
          <w:rFonts w:ascii="宋体" w:hAnsi="宋体" w:cs="宋体"/>
          <w:bCs/>
          <w:w w:val="90"/>
          <w:sz w:val="30"/>
          <w:szCs w:val="30"/>
        </w:rPr>
        <w:t>每一个医用IT系统，应设置显示工作状态的信号灯和声光警报装置。声光警报装置应安装在便于永久性监视的场所。</w:t>
      </w:r>
    </w:p>
    <w:p>
      <w:pPr>
        <w:numPr>
          <w:ilvl w:val="2"/>
          <w:numId w:val="1"/>
        </w:numPr>
        <w:tabs>
          <w:tab w:val="left" w:pos="720"/>
        </w:tabs>
        <w:spacing w:line="425" w:lineRule="exact"/>
        <w:ind w:hanging="113"/>
        <w:contextualSpacing/>
        <w:rPr>
          <w:rFonts w:ascii="宋体" w:hAnsi="宋体" w:cs="宋体"/>
          <w:w w:val="90"/>
          <w:sz w:val="30"/>
          <w:szCs w:val="30"/>
        </w:rPr>
      </w:pPr>
      <w:r>
        <w:rPr>
          <w:rFonts w:hint="eastAsia" w:ascii="宋体" w:hAnsi="宋体" w:cs="宋体"/>
          <w:w w:val="90"/>
          <w:sz w:val="30"/>
          <w:szCs w:val="30"/>
        </w:rPr>
        <w:t>对于因过负荷引起断电而造成更大损失的供电回路（如可能过负荷的消防设备配电线路），过负荷保护只作用于信号报警，不作用于切断电源。</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低压电击防护：</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当采用保护电器自动切断电源作为低压电击故障防护措施时，对于线对地标称电压为220V的TN系统和TT系统，额定电流不超过63A的电源插座及额定电流不超过32A的固定连接的电气设备终端回路：切断电源的时间TN系统不大于0.4s，TT系统不大于0.2s；当TT系统采用过电流保护电器切断电源，且采取保护等电位联结措施时，切断电源的时间不大于0.4s。</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室外照明配电终端回路设置剩余电流动作保护电器作为附加防护。</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采用交流低压供电，安装高度在2.5m 及以下的正常照明灯具（Ⅰ类灯具）设置剩余电流动作保护电器作为附加防护。</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额定电流不超过32A 的供一般人员使用的电源插座回路、室内移动电气设备回路、人员可触及的室外电气设备回路装设剩余电流动作保护电器作为附加防护。</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采用剩余电流动作保护电器作为附加防护措施时，其额定剩余电流动作值不应大于30mA，且应装设保护接地导体（PE）。</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具体选型和技术要求详配电系统图。</w:t>
      </w:r>
    </w:p>
    <w:p>
      <w:pPr>
        <w:numPr>
          <w:ilvl w:val="1"/>
          <w:numId w:val="1"/>
        </w:numPr>
        <w:tabs>
          <w:tab w:val="left" w:pos="567"/>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电能计量方式</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u w:val="single"/>
        </w:rPr>
        <w:t>照明插座用电，空调用电、动力用电、特殊用电设置独立分类、分项计量</w:t>
      </w:r>
      <w:r>
        <w:rPr>
          <w:rFonts w:hint="eastAsia" w:ascii="宋体" w:hAnsi="宋体" w:cs="宋体"/>
          <w:w w:val="90"/>
          <w:sz w:val="30"/>
          <w:szCs w:val="30"/>
        </w:rPr>
        <w:t>。</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u w:val="single"/>
        </w:rPr>
        <w:t>低压计量表及互感器精度要求：低压互感器0.5级、计量表1.0级</w:t>
      </w:r>
      <w:r>
        <w:rPr>
          <w:rFonts w:hint="eastAsia" w:ascii="宋体" w:hAnsi="宋体" w:cs="宋体"/>
          <w:w w:val="90"/>
          <w:sz w:val="30"/>
          <w:szCs w:val="30"/>
        </w:rPr>
        <w:t>。</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u w:val="single"/>
        </w:rPr>
        <w:t>有远传要求的计量表应具有通讯功能接口</w:t>
      </w:r>
      <w:r>
        <w:rPr>
          <w:rFonts w:hint="eastAsia" w:ascii="宋体" w:hAnsi="宋体" w:cs="宋体"/>
          <w:w w:val="90"/>
          <w:sz w:val="30"/>
          <w:szCs w:val="30"/>
        </w:rPr>
        <w:t>。</w:t>
      </w:r>
    </w:p>
    <w:p>
      <w:pPr>
        <w:tabs>
          <w:tab w:val="left" w:pos="567"/>
          <w:tab w:val="left" w:pos="720"/>
        </w:tabs>
        <w:spacing w:line="425" w:lineRule="exact"/>
        <w:ind w:left="567"/>
        <w:contextualSpacing/>
        <w:rPr>
          <w:rFonts w:ascii="宋体" w:hAnsi="宋体" w:cs="宋体"/>
          <w:sz w:val="32"/>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线路选择及敷设</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电线电缆的额定电压</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10（20）kV高压电力电缆：8.7/15（18/30）kV。</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380/220V低压电力电缆： 0.6/1kV。</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室内敷设的380/220V低压电线：450/750V。</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控制电缆： 450/750V。</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电线电缆的燃烧性能等级选择：</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人员密集的公共场所，选用燃烧性能B1级、产烟毒性为tl级、燃烧滴落物/微粒等级为dl级的电线电缆；</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电线电缆的燃烧性能等级选择详图纸标注。除特殊注明外，所选电线电缆各燃烧性能等级所对应的产烟毒性、燃烧滴落物/微粒等级不低于：</w:t>
      </w:r>
    </w:p>
    <w:p>
      <w:pPr>
        <w:tabs>
          <w:tab w:val="left" w:pos="720"/>
        </w:tabs>
        <w:spacing w:line="425" w:lineRule="exact"/>
        <w:ind w:left="340" w:firstLine="270" w:firstLineChars="100"/>
        <w:contextualSpacing/>
        <w:rPr>
          <w:rFonts w:ascii="宋体" w:hAnsi="宋体" w:cs="宋体"/>
          <w:w w:val="90"/>
          <w:sz w:val="30"/>
          <w:szCs w:val="30"/>
        </w:rPr>
      </w:pPr>
      <w:r>
        <w:rPr>
          <w:rFonts w:hint="eastAsia" w:ascii="宋体" w:hAnsi="宋体" w:cs="宋体"/>
          <w:w w:val="90"/>
          <w:sz w:val="30"/>
          <w:szCs w:val="30"/>
        </w:rPr>
        <w:t>B1级电线电缆：产烟毒性为t1级、燃烧滴落物/微粒等级为d1级；</w:t>
      </w:r>
    </w:p>
    <w:p>
      <w:pPr>
        <w:tabs>
          <w:tab w:val="left" w:pos="720"/>
        </w:tabs>
        <w:spacing w:line="425" w:lineRule="exact"/>
        <w:ind w:left="340" w:firstLine="270" w:firstLineChars="100"/>
        <w:contextualSpacing/>
        <w:rPr>
          <w:rFonts w:ascii="宋体" w:hAnsi="宋体" w:cs="宋体"/>
          <w:w w:val="90"/>
          <w:sz w:val="30"/>
          <w:szCs w:val="30"/>
        </w:rPr>
      </w:pPr>
      <w:r>
        <w:rPr>
          <w:rFonts w:hint="eastAsia" w:ascii="宋体" w:hAnsi="宋体" w:cs="宋体"/>
          <w:w w:val="90"/>
          <w:sz w:val="30"/>
          <w:szCs w:val="30"/>
        </w:rPr>
        <w:t>B2级电线电缆：产烟毒性为t2级、燃烧滴落物/微粒等级为d2级；</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电线电缆的阻燃类别除图纸注明外不低于：</w:t>
      </w:r>
    </w:p>
    <w:p>
      <w:pPr>
        <w:numPr>
          <w:ilvl w:val="2"/>
          <w:numId w:val="1"/>
        </w:numPr>
        <w:tabs>
          <w:tab w:val="left" w:pos="720"/>
          <w:tab w:val="clear" w:pos="0"/>
        </w:tabs>
        <w:spacing w:line="425" w:lineRule="exact"/>
        <w:contextualSpacing/>
        <w:rPr>
          <w:rFonts w:ascii="宋体" w:hAnsi="宋体" w:cs="宋体"/>
          <w:w w:val="90"/>
          <w:sz w:val="30"/>
          <w:szCs w:val="30"/>
          <w:u w:val="single"/>
        </w:rPr>
      </w:pPr>
      <w:r>
        <w:rPr>
          <w:rFonts w:hint="eastAsia" w:ascii="宋体" w:hAnsi="宋体" w:cs="宋体"/>
          <w:w w:val="90"/>
          <w:sz w:val="30"/>
          <w:szCs w:val="30"/>
        </w:rPr>
        <w:t>电缆阻燃类别为：</w:t>
      </w:r>
      <w:r>
        <w:rPr>
          <w:rFonts w:hint="eastAsia" w:ascii="宋体" w:hAnsi="宋体" w:cs="宋体"/>
          <w:w w:val="90"/>
          <w:sz w:val="30"/>
          <w:szCs w:val="30"/>
          <w:u w:val="single"/>
        </w:rPr>
        <w:t>Z</w:t>
      </w:r>
      <w:r>
        <w:rPr>
          <w:rFonts w:ascii="宋体" w:hAnsi="宋体" w:cs="宋体"/>
          <w:w w:val="90"/>
          <w:sz w:val="30"/>
          <w:szCs w:val="30"/>
          <w:u w:val="single"/>
        </w:rPr>
        <w:t>B</w:t>
      </w:r>
      <w:r>
        <w:rPr>
          <w:rFonts w:hint="eastAsia" w:ascii="宋体" w:hAnsi="宋体" w:cs="宋体"/>
          <w:w w:val="90"/>
          <w:sz w:val="30"/>
          <w:szCs w:val="30"/>
        </w:rPr>
        <w:t>。</w:t>
      </w:r>
    </w:p>
    <w:p>
      <w:pPr>
        <w:numPr>
          <w:ilvl w:val="2"/>
          <w:numId w:val="1"/>
        </w:numPr>
        <w:tabs>
          <w:tab w:val="left" w:pos="720"/>
          <w:tab w:val="clear" w:pos="0"/>
        </w:tabs>
        <w:spacing w:line="425" w:lineRule="exact"/>
        <w:contextualSpacing/>
        <w:rPr>
          <w:rFonts w:ascii="宋体" w:hAnsi="宋体" w:cs="宋体"/>
          <w:w w:val="90"/>
          <w:sz w:val="30"/>
          <w:szCs w:val="30"/>
          <w:u w:val="single"/>
        </w:rPr>
      </w:pPr>
      <w:r>
        <w:rPr>
          <w:rFonts w:hint="eastAsia" w:ascii="宋体" w:hAnsi="宋体" w:cs="宋体"/>
          <w:w w:val="90"/>
          <w:sz w:val="30"/>
          <w:szCs w:val="30"/>
        </w:rPr>
        <w:t>电线（50 mm</w:t>
      </w:r>
      <w:r>
        <w:rPr>
          <w:rFonts w:hint="eastAsia" w:ascii="宋体" w:hAnsi="宋体" w:cs="宋体"/>
          <w:w w:val="90"/>
          <w:sz w:val="30"/>
          <w:szCs w:val="30"/>
          <w:vertAlign w:val="superscript"/>
        </w:rPr>
        <w:t>2</w:t>
      </w:r>
      <w:r>
        <w:rPr>
          <w:rFonts w:hint="eastAsia" w:ascii="宋体" w:hAnsi="宋体" w:cs="宋体"/>
          <w:w w:val="90"/>
          <w:sz w:val="30"/>
          <w:szCs w:val="30"/>
        </w:rPr>
        <w:t>及以上）阻燃类别为：</w:t>
      </w:r>
      <w:r>
        <w:rPr>
          <w:rFonts w:hint="eastAsia" w:ascii="宋体" w:hAnsi="宋体" w:cs="宋体"/>
          <w:w w:val="90"/>
          <w:sz w:val="30"/>
          <w:szCs w:val="30"/>
          <w:u w:val="single"/>
        </w:rPr>
        <w:t>Z</w:t>
      </w:r>
      <w:r>
        <w:rPr>
          <w:rFonts w:ascii="宋体" w:hAnsi="宋体" w:cs="宋体"/>
          <w:w w:val="90"/>
          <w:sz w:val="30"/>
          <w:szCs w:val="30"/>
          <w:u w:val="single"/>
        </w:rPr>
        <w:t>B</w:t>
      </w:r>
      <w:r>
        <w:rPr>
          <w:rFonts w:hint="eastAsia" w:ascii="宋体" w:hAnsi="宋体" w:cs="宋体"/>
          <w:w w:val="90"/>
          <w:sz w:val="30"/>
          <w:szCs w:val="30"/>
        </w:rPr>
        <w:t>。</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电线（35 mm</w:t>
      </w:r>
      <w:r>
        <w:rPr>
          <w:rFonts w:hint="eastAsia" w:ascii="宋体" w:hAnsi="宋体" w:cs="宋体"/>
          <w:w w:val="90"/>
          <w:sz w:val="30"/>
          <w:szCs w:val="30"/>
          <w:vertAlign w:val="superscript"/>
        </w:rPr>
        <w:t>2</w:t>
      </w:r>
      <w:r>
        <w:rPr>
          <w:rFonts w:hint="eastAsia" w:ascii="宋体" w:hAnsi="宋体" w:cs="宋体"/>
          <w:w w:val="90"/>
          <w:sz w:val="30"/>
          <w:szCs w:val="30"/>
        </w:rPr>
        <w:t>及以下）阻燃类别为：</w:t>
      </w:r>
      <w:r>
        <w:rPr>
          <w:rFonts w:hint="eastAsia" w:ascii="宋体" w:hAnsi="宋体" w:cs="宋体"/>
          <w:w w:val="90"/>
          <w:sz w:val="30"/>
          <w:szCs w:val="30"/>
          <w:u w:val="single"/>
        </w:rPr>
        <w:t>ZC</w:t>
      </w:r>
      <w:r>
        <w:rPr>
          <w:rFonts w:hint="eastAsia" w:ascii="宋体" w:hAnsi="宋体" w:cs="宋体"/>
          <w:w w:val="90"/>
          <w:sz w:val="30"/>
          <w:szCs w:val="30"/>
        </w:rPr>
        <w:t>。</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同一桥架内电线电缆的非金属含量不应超过下表的规定：</w:t>
      </w:r>
    </w:p>
    <w:tbl>
      <w:tblPr>
        <w:tblStyle w:val="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阻燃类别</w:t>
            </w:r>
          </w:p>
        </w:tc>
        <w:tc>
          <w:tcPr>
            <w:tcW w:w="5103"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电线电缆的非金属材料含量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ZA</w:t>
            </w:r>
          </w:p>
        </w:tc>
        <w:tc>
          <w:tcPr>
            <w:tcW w:w="5103"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7～14 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ZB</w:t>
            </w:r>
          </w:p>
        </w:tc>
        <w:tc>
          <w:tcPr>
            <w:tcW w:w="5103"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3.5～7L/m(含7L/m)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ZC</w:t>
            </w:r>
          </w:p>
        </w:tc>
        <w:tc>
          <w:tcPr>
            <w:tcW w:w="5103"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1.5～3.5L/m(含3.5L/m)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ZD</w:t>
            </w:r>
          </w:p>
        </w:tc>
        <w:tc>
          <w:tcPr>
            <w:tcW w:w="5103" w:type="dxa"/>
            <w:vAlign w:val="bottom"/>
          </w:tcPr>
          <w:p>
            <w:pPr>
              <w:tabs>
                <w:tab w:val="left" w:pos="720"/>
              </w:tabs>
              <w:spacing w:line="425" w:lineRule="exact"/>
              <w:contextualSpacing/>
              <w:jc w:val="center"/>
              <w:rPr>
                <w:rFonts w:ascii="宋体" w:hAnsi="宋体" w:cs="宋体"/>
                <w:sz w:val="28"/>
                <w:szCs w:val="28"/>
              </w:rPr>
            </w:pPr>
            <w:r>
              <w:rPr>
                <w:rFonts w:hint="eastAsia" w:ascii="宋体" w:hAnsi="宋体" w:cs="宋体"/>
                <w:sz w:val="28"/>
                <w:szCs w:val="28"/>
              </w:rPr>
              <w:t>≤1.5 L/m</w:t>
            </w:r>
          </w:p>
        </w:tc>
      </w:tr>
    </w:tbl>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配电线路选用：</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室内非消防电线：</w:t>
      </w:r>
      <w:r>
        <w:rPr>
          <w:rFonts w:hint="eastAsia" w:ascii="宋体" w:hAnsi="宋体" w:cs="宋体"/>
          <w:w w:val="90"/>
          <w:sz w:val="30"/>
          <w:szCs w:val="30"/>
          <w:u w:val="single"/>
        </w:rPr>
        <w:t>WDZC-BYJ-B1</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室内非消防电缆：</w:t>
      </w:r>
      <w:r>
        <w:rPr>
          <w:rFonts w:hint="eastAsia" w:ascii="宋体" w:hAnsi="宋体" w:cs="宋体"/>
          <w:w w:val="90"/>
          <w:sz w:val="30"/>
          <w:szCs w:val="30"/>
          <w:u w:val="single"/>
        </w:rPr>
        <w:t>WDZB-YJY-B1</w:t>
      </w:r>
    </w:p>
    <w:p>
      <w:pPr>
        <w:numPr>
          <w:ilvl w:val="2"/>
          <w:numId w:val="1"/>
        </w:numPr>
        <w:tabs>
          <w:tab w:val="left" w:pos="720"/>
          <w:tab w:val="clear" w:pos="0"/>
        </w:tabs>
        <w:spacing w:line="425" w:lineRule="exact"/>
        <w:contextualSpacing/>
        <w:rPr>
          <w:rFonts w:ascii="宋体" w:hAnsi="宋体" w:cs="宋体"/>
          <w:w w:val="90"/>
          <w:sz w:val="30"/>
          <w:szCs w:val="30"/>
          <w:u w:val="single"/>
        </w:rPr>
      </w:pPr>
      <w:r>
        <w:rPr>
          <w:rFonts w:hint="eastAsia" w:ascii="宋体" w:hAnsi="宋体" w:cs="宋体"/>
          <w:w w:val="90"/>
          <w:sz w:val="30"/>
          <w:szCs w:val="30"/>
        </w:rPr>
        <w:t>室内耐火电线：</w:t>
      </w:r>
      <w:r>
        <w:rPr>
          <w:rFonts w:hint="eastAsia" w:ascii="宋体" w:hAnsi="宋体" w:cs="宋体"/>
          <w:w w:val="90"/>
          <w:sz w:val="30"/>
          <w:szCs w:val="30"/>
          <w:u w:val="single"/>
        </w:rPr>
        <w:t>WDZCN-BYJ-B1</w:t>
      </w:r>
    </w:p>
    <w:p>
      <w:pPr>
        <w:numPr>
          <w:ilvl w:val="2"/>
          <w:numId w:val="1"/>
        </w:numPr>
        <w:tabs>
          <w:tab w:val="left" w:pos="720"/>
        </w:tabs>
        <w:spacing w:line="425" w:lineRule="exact"/>
        <w:contextualSpacing/>
        <w:rPr>
          <w:rFonts w:ascii="宋体" w:hAnsi="宋体" w:cs="宋体"/>
          <w:w w:val="90"/>
          <w:sz w:val="30"/>
          <w:szCs w:val="30"/>
        </w:rPr>
      </w:pPr>
      <w:r>
        <w:rPr>
          <w:rFonts w:hint="eastAsia" w:ascii="宋体" w:hAnsi="宋体" w:cs="宋体"/>
          <w:w w:val="90"/>
          <w:sz w:val="30"/>
          <w:szCs w:val="30"/>
        </w:rPr>
        <w:t>室内耐火电缆（含矿物绝缘电缆）：</w:t>
      </w:r>
      <w:r>
        <w:rPr>
          <w:rFonts w:hint="eastAsia" w:ascii="宋体" w:hAnsi="宋体" w:cs="宋体"/>
          <w:w w:val="90"/>
          <w:sz w:val="30"/>
          <w:szCs w:val="30"/>
          <w:u w:val="single"/>
        </w:rPr>
        <w:t>NS-BTLY-B1</w:t>
      </w:r>
      <w:r>
        <w:rPr>
          <w:rFonts w:hint="eastAsia" w:ascii="宋体" w:hAnsi="宋体" w:cs="宋体"/>
          <w:w w:val="90"/>
          <w:sz w:val="30"/>
          <w:szCs w:val="30"/>
          <w:u w:val="single"/>
        </w:rPr>
        <w:t>、WDZ</w:t>
      </w:r>
      <w:r>
        <w:rPr>
          <w:rFonts w:ascii="宋体" w:hAnsi="宋体" w:cs="宋体"/>
          <w:w w:val="90"/>
          <w:sz w:val="30"/>
          <w:szCs w:val="30"/>
          <w:u w:val="single"/>
        </w:rPr>
        <w:t>C</w:t>
      </w:r>
      <w:r>
        <w:rPr>
          <w:rFonts w:hint="eastAsia" w:ascii="宋体" w:hAnsi="宋体" w:cs="宋体"/>
          <w:w w:val="90"/>
          <w:sz w:val="30"/>
          <w:szCs w:val="30"/>
          <w:u w:val="single"/>
        </w:rPr>
        <w:t>NS-YJY-B1、WDZ</w:t>
      </w:r>
      <w:r>
        <w:rPr>
          <w:rFonts w:ascii="宋体" w:hAnsi="宋体" w:cs="宋体"/>
          <w:w w:val="90"/>
          <w:sz w:val="30"/>
          <w:szCs w:val="30"/>
          <w:u w:val="single"/>
        </w:rPr>
        <w:t>C</w:t>
      </w:r>
      <w:r>
        <w:rPr>
          <w:rFonts w:hint="eastAsia" w:ascii="宋体" w:hAnsi="宋体" w:cs="宋体"/>
          <w:w w:val="90"/>
          <w:sz w:val="30"/>
          <w:szCs w:val="30"/>
          <w:u w:val="single"/>
        </w:rPr>
        <w:t>N-YJY-B1</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室内控制电缆：</w:t>
      </w:r>
      <w:r>
        <w:rPr>
          <w:rFonts w:hint="eastAsia" w:ascii="宋体" w:hAnsi="宋体" w:cs="宋体"/>
          <w:w w:val="90"/>
          <w:sz w:val="30"/>
          <w:szCs w:val="30"/>
          <w:u w:val="single"/>
        </w:rPr>
        <w:t>WDZ</w:t>
      </w:r>
      <w:r>
        <w:rPr>
          <w:rFonts w:ascii="宋体" w:hAnsi="宋体" w:cs="宋体"/>
          <w:w w:val="90"/>
          <w:sz w:val="30"/>
          <w:szCs w:val="30"/>
          <w:u w:val="single"/>
        </w:rPr>
        <w:t>C</w:t>
      </w:r>
      <w:r>
        <w:rPr>
          <w:rFonts w:hint="eastAsia" w:ascii="宋体" w:hAnsi="宋体" w:cs="宋体"/>
          <w:w w:val="90"/>
          <w:sz w:val="30"/>
          <w:szCs w:val="30"/>
          <w:u w:val="single"/>
        </w:rPr>
        <w:t>-KYJY-B1、WDZ</w:t>
      </w:r>
      <w:r>
        <w:rPr>
          <w:rFonts w:ascii="宋体" w:hAnsi="宋体" w:cs="宋体"/>
          <w:w w:val="90"/>
          <w:sz w:val="30"/>
          <w:szCs w:val="30"/>
          <w:u w:val="single"/>
        </w:rPr>
        <w:t>C</w:t>
      </w:r>
      <w:r>
        <w:rPr>
          <w:rFonts w:hint="eastAsia" w:ascii="宋体" w:hAnsi="宋体" w:cs="宋体"/>
          <w:w w:val="90"/>
          <w:sz w:val="30"/>
          <w:szCs w:val="30"/>
          <w:u w:val="single"/>
        </w:rPr>
        <w:t>N-KYJY-B1</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除图纸另行注明外，建筑物火灾延续时间为3h的室内消防设备配电干线和分支干线采用的耐火电缆（含</w:t>
      </w:r>
      <w:r>
        <w:rPr>
          <w:rFonts w:hint="eastAsia" w:ascii="宋体" w:hAnsi="宋体" w:cs="宋体"/>
          <w:w w:val="90"/>
          <w:sz w:val="30"/>
          <w:szCs w:val="30"/>
          <w:u w:val="single"/>
        </w:rPr>
        <w:t>NW型电缆</w:t>
      </w:r>
      <w:r>
        <w:rPr>
          <w:rFonts w:hint="eastAsia" w:ascii="宋体" w:hAnsi="宋体" w:cs="宋体"/>
          <w:w w:val="90"/>
          <w:sz w:val="30"/>
          <w:szCs w:val="30"/>
        </w:rPr>
        <w:t>、矿物绝缘电缆等），应通过并取得耐火温度950℃、耐火时间不小于180min的相关国家试验合格证。</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室外敷设的电线电缆选型详见图纸标注。</w:t>
      </w:r>
      <w:r>
        <w:rPr>
          <w:rFonts w:hint="eastAsia" w:ascii="宋体" w:hAnsi="宋体" w:cs="宋体"/>
          <w:w w:val="90"/>
          <w:sz w:val="30"/>
          <w:szCs w:val="30"/>
        </w:rPr>
        <w:tab/>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消防设备的配电线路及其敷设方式应保证火灾时的持续供电时间满足相关规范标准要求。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电压等级超过交流50V以上的消防配电线路在吊顶内或室内接驳时，应采用防火防水接线盒，不应采用普通接线盒接线。</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室内明敷电线电缆通过墙壁或楼板时,应穿管槽保护,穿楼板处保护高度不小于1.8m（电气专用房除外）。</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布线用各种电缆、导管、电缆桥架及母线槽在穿越楼板、防火墙、防火隔墙及防火卷帘上方的防火隔板时，其空隙应釆用相当于建筑构件耐火极限的不燃烧材料填塞密实。所有穿过建筑物防火墙、伸缩缝、沉降缝、后浇带的管线应按国家、地方标准图集中有关做法施工。</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布线系统通过底板、墙壁、屋顶、天花板、隔墙等建筑构件时，其孔隙应按等同建筑构件耐火等级的规定封堵；当导管和槽盒内部截面积等于大于710mm</w:t>
      </w:r>
      <w:r>
        <w:rPr>
          <w:rFonts w:hint="eastAsia" w:ascii="宋体" w:hAnsi="宋体" w:cs="宋体"/>
          <w:w w:val="90"/>
          <w:sz w:val="30"/>
          <w:szCs w:val="30"/>
          <w:vertAlign w:val="superscript"/>
        </w:rPr>
        <w:t>2</w:t>
      </w:r>
      <w:r>
        <w:rPr>
          <w:rFonts w:hint="eastAsia" w:ascii="宋体" w:hAnsi="宋体" w:cs="宋体"/>
          <w:w w:val="90"/>
          <w:sz w:val="30"/>
          <w:szCs w:val="30"/>
        </w:rPr>
        <w:t>时，应从内部封堵。</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电气管线穿过有隔声要求的墙或楼板时，应采取密封隔声措施。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封闭母线、电缆桥架原则上不应穿越避难层避难区域（间）、避难走道、避难间、防烟楼梯间及前室。确因建筑条件限制需穿越时，若采用燃烧性能A级电缆，穿越处（楼板或墙体）的孔隙应采用不低于穿越处耐火极限的材料封堵；若采用其他电缆及封闭母线，穿越段的电缆桥架及封闭母线应做满足穿越处（楼板或墙体）耐火极限要求的防火包覆或做防火夹层进行保护，且穿越处（楼板或墙体）的孔隙应采用不低于穿越处耐火极限的材料封堵。</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管线（桥架、母线槽、导管）与热水管、蒸汽管同侧敷设时,电气管线敷设在热水管、蒸汽管的下方；电气管线与水管同侧敷设时，电气管线宜敷设在水管的上方；电气管线敷设应充分考虑施工安装和检修要求，并满足相关规范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明敷的导管、电缆桥架采用燃烧性能不低于B1级（产烟毒性为t0级、燃烧滴落物/微粒等级为d0级）的难燃材料制品或不燃材料制品。</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在有可燃物闷顶和吊顶内敷设电力线缆时，采用不燃材料的导管或电缆槽盒保护。</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布线用塑料导管，应符合现行国家标准《电缆管理用电缆导管系统第1部分：通用要求》GB/T 20041.1中非火焰蔓延型塑料导管；布线用塑料槽盒，应符合现行国家标准《电气安装用电缆槽管系统第1部分：通用要求》GB/T 19215.1中非火焰蔓延型的有关规定。室内明敷的刚性塑料槽盒、导管、接线盒、分线盒的燃烧性能应为B1级，室内暗敷的塑料导管燃烧性能等级不低于B2级。</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布线用金属导管，应符合现行国家标准《电缆管理用导管系统 第1部分：通用要求》GB/T 20041.1 和《低压流体输送选用焊接钢管》GB/T 3091的有关规定。</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 xml:space="preserve"> 室内干燥场所的线缆采用导管布线时：</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金属导管选用管壁厚度不小于1.5mm的镀锌钢导管；</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塑料导管明敷时，选用壁厚不低于1.6mm、不低于中型（中等机械应力）的刚性塑料导管；</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塑料导管暗敷时，选用壁厚不低于1.8mm（住宅建筑为2.0mm）、不低于中型（中等机械应力）的刚性塑料导管，并应采取防止机械损伤的措施；</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可弯曲金属导管明敷时选用不低于中型，暗敷时选用重型；</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暗敷保护层厚度不小于15mm（消防线缆不小于30mm）。</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室内潮湿场所、屋面及室外场所的线缆采用导管明敷布线时：</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采用防潮防腐材料制造的导管应满足机械强度的要求；</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金属导管选用管壁厚度不小于2.0mm的热镀锌钢导管，并采取防潮防腐措施;</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可弯曲金属导管选用重型防水可弯曲金属导管。</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室内潮湿场所及建筑物底层、地面层以下外墙内的线缆采用导管暗敷布线时：</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金属导管选用管壁厚度不小于2.0mm的热镀锌钢导管；</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弯曲金属导管选用重型可弯曲金属导管；</w:t>
      </w:r>
    </w:p>
    <w:p>
      <w:pPr>
        <w:numPr>
          <w:ilvl w:val="2"/>
          <w:numId w:val="1"/>
        </w:numPr>
        <w:tabs>
          <w:tab w:val="left" w:pos="720"/>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塑料导管选用重型刚性塑料导管。</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线缆导管暗敷于楼板、墙体等不然结构体内时，其保护层厚度不小于15mm（消防线缆不小于30mm）。</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暗敷于素土和室外地下的线缆采用导管布线时，选用壁厚不小于2.0mm的热镀锌钢导管并采取防水、防腐蚀措施；或选用重型防水可弯曲金属导管；或选用重型刚性塑料导管；引出地（楼）面的管路应采取防止机械损伤的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线缆采用导管暗敷布线时应避免穿过设备基础，当穿过建筑物外墙时采取止水措施。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金属电缆桥架应采取防潮防腐措施或采用防潮防腐材料制造的桥架，除特殊注明外，本工程电缆桥架(槽盒、托盘、梯架)采用</w:t>
      </w:r>
      <w:r>
        <w:rPr>
          <w:rFonts w:hint="eastAsia" w:ascii="宋体" w:hAnsi="宋体" w:cs="宋体"/>
          <w:w w:val="90"/>
          <w:sz w:val="30"/>
          <w:szCs w:val="30"/>
          <w:u w:val="single"/>
        </w:rPr>
        <w:t>热浸镀锌钢桥架或预涂装彩色涂层钢（彩钢）桥架，热浸镀锌钢桥架钢板镀锌层厚度（附着量）≥65μm（460g/m</w:t>
      </w:r>
      <w:r>
        <w:rPr>
          <w:rFonts w:hint="eastAsia" w:ascii="宋体" w:hAnsi="宋体" w:cs="宋体"/>
          <w:w w:val="90"/>
          <w:sz w:val="30"/>
          <w:szCs w:val="30"/>
          <w:u w:val="single"/>
          <w:vertAlign w:val="superscript"/>
        </w:rPr>
        <w:t>2</w:t>
      </w:r>
      <w:r>
        <w:rPr>
          <w:rFonts w:hint="eastAsia" w:ascii="宋体" w:hAnsi="宋体" w:cs="宋体"/>
          <w:w w:val="90"/>
          <w:sz w:val="30"/>
          <w:szCs w:val="30"/>
          <w:u w:val="single"/>
        </w:rPr>
        <w:t>），彩钢桥架基板单面锌层厚度（附着量）≥12.6μm（90g/m</w:t>
      </w:r>
      <w:r>
        <w:rPr>
          <w:rFonts w:hint="eastAsia" w:ascii="宋体" w:hAnsi="宋体" w:cs="宋体"/>
          <w:w w:val="90"/>
          <w:sz w:val="30"/>
          <w:szCs w:val="30"/>
          <w:u w:val="single"/>
          <w:vertAlign w:val="superscript"/>
        </w:rPr>
        <w:t>2</w:t>
      </w:r>
      <w:r>
        <w:rPr>
          <w:rFonts w:hint="eastAsia" w:ascii="宋体" w:hAnsi="宋体" w:cs="宋体"/>
          <w:w w:val="90"/>
          <w:sz w:val="30"/>
          <w:szCs w:val="30"/>
          <w:u w:val="single"/>
        </w:rPr>
        <w:t>）。</w:t>
      </w:r>
      <w:r>
        <w:rPr>
          <w:rFonts w:hint="eastAsia" w:ascii="宋体" w:hAnsi="宋体" w:cs="宋体"/>
          <w:w w:val="90"/>
          <w:sz w:val="30"/>
          <w:szCs w:val="30"/>
        </w:rPr>
        <w:t>所选桥架的其它技术指标以及采用其它防潮防腐方式的各类钢制电缆桥架（托盘、梯架、槽盒）的技术指标和要求应符合《钢制电缆桥架工程设计规程》T/CECS 31-2017及《节能耐腐蚀钢制电缆桥架》GB∕T 23639-2017的相关规定。电缆桥架配套或相应使用的附件及支、吊架的也应具有与电缆桥架相应的防潮防腐要求。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钢制电缆桥架当满足安全工作载荷（SWL），且直线段长度为2000mm时，各类电缆桥架板材的最小允许厚度应符合下表所列数值：</w:t>
      </w:r>
    </w:p>
    <w:p>
      <w:pPr>
        <w:tabs>
          <w:tab w:val="left" w:pos="283"/>
        </w:tabs>
        <w:spacing w:line="425" w:lineRule="exact"/>
        <w:ind w:left="227"/>
        <w:contextualSpacing/>
        <w:rPr>
          <w:rFonts w:ascii="宋体" w:hAnsi="宋体" w:cs="宋体"/>
          <w:w w:val="90"/>
          <w:sz w:val="30"/>
          <w:szCs w:val="30"/>
        </w:rPr>
      </w:pPr>
    </w:p>
    <w:tbl>
      <w:tblPr>
        <w:tblStyle w:val="6"/>
        <w:tblW w:w="7370" w:type="dxa"/>
        <w:jc w:val="center"/>
        <w:tblCellSpacing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fixed"/>
        <w:tblCellMar>
          <w:top w:w="0" w:type="dxa"/>
          <w:left w:w="0" w:type="dxa"/>
          <w:bottom w:w="0" w:type="dxa"/>
          <w:right w:w="0" w:type="dxa"/>
        </w:tblCellMar>
      </w:tblPr>
      <w:tblGrid>
        <w:gridCol w:w="1651"/>
        <w:gridCol w:w="824"/>
        <w:gridCol w:w="790"/>
        <w:gridCol w:w="847"/>
        <w:gridCol w:w="824"/>
        <w:gridCol w:w="824"/>
        <w:gridCol w:w="785"/>
        <w:gridCol w:w="825"/>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cantSplit/>
          <w:tblCellSpacing w:w="0" w:type="dxa"/>
          <w:jc w:val="center"/>
        </w:trPr>
        <w:tc>
          <w:tcPr>
            <w:tcW w:w="7370" w:type="dxa"/>
            <w:gridSpan w:val="8"/>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各类托盘（槽盒）板材最小允许厚度（mm）</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PrEx>
        <w:trPr>
          <w:cantSplit/>
          <w:tblCellSpacing w:w="0" w:type="dxa"/>
          <w:jc w:val="center"/>
        </w:trPr>
        <w:tc>
          <w:tcPr>
            <w:tcW w:w="1651" w:type="dxa"/>
            <w:vMerge w:val="restart"/>
            <w:vAlign w:val="center"/>
          </w:tcPr>
          <w:p>
            <w:pPr>
              <w:autoSpaceDE w:val="0"/>
              <w:autoSpaceDN w:val="0"/>
              <w:adjustRightInd w:val="0"/>
              <w:ind w:firstLine="360" w:firstLineChars="150"/>
              <w:contextualSpacing/>
              <w:jc w:val="left"/>
              <w:rPr>
                <w:rFonts w:ascii="宋体" w:hAnsi="宋体" w:cs="宋体"/>
                <w:sz w:val="24"/>
              </w:rPr>
            </w:pPr>
            <w:r>
              <w:rPr>
                <w:rFonts w:hint="eastAsia" w:ascii="宋体" w:hAnsi="宋体" w:cs="宋体"/>
                <w:sz w:val="24"/>
              </w:rPr>
              <w:t>托盘宽 B</w:t>
            </w:r>
          </w:p>
        </w:tc>
        <w:tc>
          <w:tcPr>
            <w:tcW w:w="1614" w:type="dxa"/>
            <w:gridSpan w:val="2"/>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平板型</w:t>
            </w:r>
          </w:p>
        </w:tc>
        <w:tc>
          <w:tcPr>
            <w:tcW w:w="2495" w:type="dxa"/>
            <w:gridSpan w:val="3"/>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波纹底</w:t>
            </w:r>
          </w:p>
        </w:tc>
        <w:tc>
          <w:tcPr>
            <w:tcW w:w="1610" w:type="dxa"/>
            <w:gridSpan w:val="2"/>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模压增强型</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cantSplit/>
          <w:tblCellSpacing w:w="0" w:type="dxa"/>
          <w:jc w:val="center"/>
        </w:trPr>
        <w:tc>
          <w:tcPr>
            <w:tcW w:w="1651" w:type="dxa"/>
            <w:vMerge w:val="continue"/>
            <w:vAlign w:val="center"/>
          </w:tcPr>
          <w:p>
            <w:pPr>
              <w:autoSpaceDE w:val="0"/>
              <w:autoSpaceDN w:val="0"/>
              <w:adjustRightInd w:val="0"/>
              <w:contextualSpacing/>
              <w:rPr>
                <w:rFonts w:ascii="宋体" w:hAnsi="宋体" w:cs="宋体"/>
                <w:sz w:val="24"/>
              </w:rPr>
            </w:pP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槽体</w:t>
            </w:r>
          </w:p>
        </w:tc>
        <w:tc>
          <w:tcPr>
            <w:tcW w:w="79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盖板</w:t>
            </w:r>
          </w:p>
        </w:tc>
        <w:tc>
          <w:tcPr>
            <w:tcW w:w="84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槽体</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槽体</w:t>
            </w:r>
          </w:p>
        </w:tc>
        <w:tc>
          <w:tcPr>
            <w:tcW w:w="824" w:type="dxa"/>
          </w:tcPr>
          <w:p>
            <w:pPr>
              <w:autoSpaceDE w:val="0"/>
              <w:autoSpaceDN w:val="0"/>
              <w:adjustRightInd w:val="0"/>
              <w:contextualSpacing/>
              <w:jc w:val="center"/>
              <w:rPr>
                <w:rFonts w:ascii="宋体" w:hAnsi="宋体" w:cs="宋体"/>
                <w:sz w:val="24"/>
              </w:rPr>
            </w:pPr>
            <w:r>
              <w:rPr>
                <w:rFonts w:hint="eastAsia" w:ascii="宋体" w:hAnsi="宋体" w:cs="宋体"/>
                <w:sz w:val="24"/>
              </w:rPr>
              <w:t>盖板</w:t>
            </w:r>
          </w:p>
        </w:tc>
        <w:tc>
          <w:tcPr>
            <w:tcW w:w="78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槽体</w:t>
            </w:r>
          </w:p>
        </w:tc>
        <w:tc>
          <w:tcPr>
            <w:tcW w:w="82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盖板</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PrEx>
        <w:trPr>
          <w:cantSplit/>
          <w:tblCellSpacing w:w="0" w:type="dxa"/>
          <w:jc w:val="center"/>
        </w:trPr>
        <w:tc>
          <w:tcPr>
            <w:tcW w:w="1651"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B＜300</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79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1.0</w:t>
            </w:r>
          </w:p>
        </w:tc>
        <w:tc>
          <w:tcPr>
            <w:tcW w:w="84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824" w:type="dxa"/>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c>
          <w:tcPr>
            <w:tcW w:w="78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0.8</w:t>
            </w:r>
          </w:p>
        </w:tc>
        <w:tc>
          <w:tcPr>
            <w:tcW w:w="82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cantSplit/>
          <w:tblCellSpacing w:w="0" w:type="dxa"/>
          <w:jc w:val="center"/>
        </w:trPr>
        <w:tc>
          <w:tcPr>
            <w:tcW w:w="1651"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300≤B＜500</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2.0</w:t>
            </w:r>
          </w:p>
        </w:tc>
        <w:tc>
          <w:tcPr>
            <w:tcW w:w="79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84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2.0</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2.0</w:t>
            </w:r>
          </w:p>
        </w:tc>
        <w:tc>
          <w:tcPr>
            <w:tcW w:w="824" w:type="dxa"/>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c>
          <w:tcPr>
            <w:tcW w:w="78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1.0</w:t>
            </w:r>
          </w:p>
        </w:tc>
        <w:tc>
          <w:tcPr>
            <w:tcW w:w="82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cantSplit/>
          <w:tblCellSpacing w:w="0" w:type="dxa"/>
          <w:jc w:val="center"/>
        </w:trPr>
        <w:tc>
          <w:tcPr>
            <w:tcW w:w="1651"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500≤B＜800</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3.0</w:t>
            </w:r>
          </w:p>
        </w:tc>
        <w:tc>
          <w:tcPr>
            <w:tcW w:w="79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84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3.0</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3.0</w:t>
            </w:r>
          </w:p>
        </w:tc>
        <w:tc>
          <w:tcPr>
            <w:tcW w:w="824" w:type="dxa"/>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c>
          <w:tcPr>
            <w:tcW w:w="78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82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cantSplit/>
          <w:tblCellSpacing w:w="0" w:type="dxa"/>
          <w:jc w:val="center"/>
        </w:trPr>
        <w:tc>
          <w:tcPr>
            <w:tcW w:w="1651"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800 、1000</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w:t>
            </w:r>
          </w:p>
        </w:tc>
        <w:tc>
          <w:tcPr>
            <w:tcW w:w="79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w:t>
            </w:r>
          </w:p>
        </w:tc>
        <w:tc>
          <w:tcPr>
            <w:tcW w:w="84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w:t>
            </w:r>
          </w:p>
        </w:tc>
        <w:tc>
          <w:tcPr>
            <w:tcW w:w="824"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w:t>
            </w:r>
          </w:p>
        </w:tc>
        <w:tc>
          <w:tcPr>
            <w:tcW w:w="824" w:type="dxa"/>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c>
          <w:tcPr>
            <w:tcW w:w="78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825"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bl>
    <w:p>
      <w:pPr>
        <w:autoSpaceDE w:val="0"/>
        <w:autoSpaceDN w:val="0"/>
        <w:adjustRightInd w:val="0"/>
        <w:ind w:left="1095" w:leftChars="350" w:hanging="360" w:hangingChars="150"/>
        <w:contextualSpacing/>
        <w:jc w:val="left"/>
        <w:rPr>
          <w:rFonts w:ascii="宋体" w:hAnsi="宋体" w:cs="宋体"/>
          <w:sz w:val="24"/>
        </w:rPr>
      </w:pPr>
    </w:p>
    <w:tbl>
      <w:tblPr>
        <w:tblStyle w:val="6"/>
        <w:tblW w:w="7370" w:type="dxa"/>
        <w:jc w:val="center"/>
        <w:tblCellSpacing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fixed"/>
        <w:tblCellMar>
          <w:top w:w="0" w:type="dxa"/>
          <w:left w:w="0" w:type="dxa"/>
          <w:bottom w:w="0" w:type="dxa"/>
          <w:right w:w="0" w:type="dxa"/>
        </w:tblCellMar>
      </w:tblPr>
      <w:tblGrid>
        <w:gridCol w:w="1673"/>
        <w:gridCol w:w="1188"/>
        <w:gridCol w:w="1779"/>
        <w:gridCol w:w="1660"/>
        <w:gridCol w:w="1070"/>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7370" w:type="dxa"/>
            <w:gridSpan w:val="5"/>
            <w:vAlign w:val="center"/>
          </w:tcPr>
          <w:p>
            <w:pPr>
              <w:autoSpaceDE w:val="0"/>
              <w:autoSpaceDN w:val="0"/>
              <w:adjustRightInd w:val="0"/>
              <w:ind w:firstLine="120" w:firstLineChars="50"/>
              <w:contextualSpacing/>
              <w:jc w:val="center"/>
              <w:rPr>
                <w:rFonts w:ascii="宋体" w:hAnsi="宋体" w:cs="宋体"/>
                <w:sz w:val="24"/>
              </w:rPr>
            </w:pPr>
            <w:r>
              <w:rPr>
                <w:rFonts w:hint="eastAsia" w:ascii="宋体" w:hAnsi="宋体" w:cs="宋体"/>
                <w:sz w:val="24"/>
              </w:rPr>
              <w:t>瓦楞式托盘、梯架板材最小允许厚度（mm）</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673" w:type="dxa"/>
            <w:vAlign w:val="center"/>
          </w:tcPr>
          <w:p>
            <w:pPr>
              <w:autoSpaceDE w:val="0"/>
              <w:autoSpaceDN w:val="0"/>
              <w:adjustRightInd w:val="0"/>
              <w:ind w:firstLine="360" w:firstLineChars="150"/>
              <w:contextualSpacing/>
              <w:jc w:val="left"/>
              <w:rPr>
                <w:rFonts w:ascii="宋体" w:hAnsi="宋体" w:cs="宋体"/>
                <w:sz w:val="24"/>
              </w:rPr>
            </w:pPr>
            <w:r>
              <w:rPr>
                <w:rFonts w:hint="eastAsia" w:ascii="宋体" w:hAnsi="宋体" w:cs="宋体"/>
                <w:sz w:val="24"/>
              </w:rPr>
              <w:t>托盘宽 B</w:t>
            </w:r>
          </w:p>
        </w:tc>
        <w:tc>
          <w:tcPr>
            <w:tcW w:w="118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瓦楞侧板</w:t>
            </w:r>
          </w:p>
        </w:tc>
        <w:tc>
          <w:tcPr>
            <w:tcW w:w="1779"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瓦楞式梯架横档</w:t>
            </w:r>
          </w:p>
        </w:tc>
        <w:tc>
          <w:tcPr>
            <w:tcW w:w="166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瓦楞托盘底板</w:t>
            </w:r>
          </w:p>
        </w:tc>
        <w:tc>
          <w:tcPr>
            <w:tcW w:w="107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瓦楞盖板</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67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150＜B≤300</w:t>
            </w:r>
          </w:p>
        </w:tc>
        <w:tc>
          <w:tcPr>
            <w:tcW w:w="118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779"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66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0.7</w:t>
            </w:r>
          </w:p>
        </w:tc>
        <w:tc>
          <w:tcPr>
            <w:tcW w:w="107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0.5</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67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300＜B≤500</w:t>
            </w:r>
          </w:p>
        </w:tc>
        <w:tc>
          <w:tcPr>
            <w:tcW w:w="118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779"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66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0.8</w:t>
            </w:r>
          </w:p>
        </w:tc>
        <w:tc>
          <w:tcPr>
            <w:tcW w:w="107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0.5</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67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500＜B≤800</w:t>
            </w:r>
          </w:p>
        </w:tc>
        <w:tc>
          <w:tcPr>
            <w:tcW w:w="118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1779"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166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0.8</w:t>
            </w:r>
          </w:p>
        </w:tc>
        <w:tc>
          <w:tcPr>
            <w:tcW w:w="107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0.5</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67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1000</w:t>
            </w:r>
          </w:p>
        </w:tc>
        <w:tc>
          <w:tcPr>
            <w:tcW w:w="118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1.8</w:t>
            </w:r>
          </w:p>
        </w:tc>
        <w:tc>
          <w:tcPr>
            <w:tcW w:w="1779"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166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0.8</w:t>
            </w:r>
          </w:p>
        </w:tc>
        <w:tc>
          <w:tcPr>
            <w:tcW w:w="1070"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0.5</w:t>
            </w:r>
          </w:p>
        </w:tc>
      </w:tr>
    </w:tbl>
    <w:p>
      <w:pPr>
        <w:autoSpaceDE w:val="0"/>
        <w:autoSpaceDN w:val="0"/>
        <w:adjustRightInd w:val="0"/>
        <w:ind w:left="1095" w:leftChars="350" w:hanging="360" w:hangingChars="150"/>
        <w:contextualSpacing/>
        <w:jc w:val="left"/>
        <w:rPr>
          <w:rFonts w:ascii="宋体" w:hAnsi="宋体" w:cs="宋体"/>
          <w:sz w:val="24"/>
        </w:rPr>
      </w:pPr>
    </w:p>
    <w:tbl>
      <w:tblPr>
        <w:tblStyle w:val="6"/>
        <w:tblW w:w="7370" w:type="dxa"/>
        <w:jc w:val="center"/>
        <w:tblCellSpacing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fixed"/>
        <w:tblCellMar>
          <w:top w:w="0" w:type="dxa"/>
          <w:left w:w="0" w:type="dxa"/>
          <w:bottom w:w="0" w:type="dxa"/>
          <w:right w:w="0" w:type="dxa"/>
        </w:tblCellMar>
      </w:tblPr>
      <w:tblGrid>
        <w:gridCol w:w="1958"/>
        <w:gridCol w:w="1387"/>
        <w:gridCol w:w="2082"/>
        <w:gridCol w:w="1943"/>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7370" w:type="dxa"/>
            <w:gridSpan w:val="4"/>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普通梯架板材最小允许厚度（mm）</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ind w:firstLine="360" w:firstLineChars="150"/>
              <w:contextualSpacing/>
              <w:jc w:val="left"/>
              <w:rPr>
                <w:rFonts w:ascii="宋体" w:hAnsi="宋体" w:cs="宋体"/>
                <w:sz w:val="24"/>
              </w:rPr>
            </w:pPr>
            <w:r>
              <w:rPr>
                <w:rFonts w:hint="eastAsia" w:ascii="宋体" w:hAnsi="宋体" w:cs="宋体"/>
                <w:sz w:val="24"/>
              </w:rPr>
              <w:t>梯架宽 B</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侧板</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横档</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盖板</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B＜300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1.0</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300≤B＜500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500≤B＜800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2.0</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2.0</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800 、1000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2.5</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2.5</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2.0</w:t>
            </w:r>
          </w:p>
        </w:tc>
      </w:tr>
    </w:tbl>
    <w:p>
      <w:pPr>
        <w:autoSpaceDE w:val="0"/>
        <w:autoSpaceDN w:val="0"/>
        <w:adjustRightInd w:val="0"/>
        <w:ind w:left="1095" w:leftChars="350" w:hanging="360" w:hangingChars="150"/>
        <w:contextualSpacing/>
        <w:jc w:val="left"/>
        <w:rPr>
          <w:rFonts w:ascii="宋体" w:hAnsi="宋体" w:cs="宋体"/>
          <w:sz w:val="24"/>
        </w:rPr>
      </w:pPr>
    </w:p>
    <w:tbl>
      <w:tblPr>
        <w:tblStyle w:val="6"/>
        <w:tblW w:w="7370" w:type="dxa"/>
        <w:jc w:val="center"/>
        <w:tblCellSpacing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fixed"/>
        <w:tblCellMar>
          <w:top w:w="0" w:type="dxa"/>
          <w:left w:w="0" w:type="dxa"/>
          <w:bottom w:w="0" w:type="dxa"/>
          <w:right w:w="0" w:type="dxa"/>
        </w:tblCellMar>
      </w:tblPr>
      <w:tblGrid>
        <w:gridCol w:w="1958"/>
        <w:gridCol w:w="1387"/>
        <w:gridCol w:w="2082"/>
        <w:gridCol w:w="1943"/>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7370" w:type="dxa"/>
            <w:gridSpan w:val="4"/>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横压增强型梯架板材最小允许厚度（mm）</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ind w:firstLine="360" w:firstLineChars="150"/>
              <w:contextualSpacing/>
              <w:jc w:val="left"/>
              <w:rPr>
                <w:rFonts w:ascii="宋体" w:hAnsi="宋体" w:cs="宋体"/>
                <w:sz w:val="24"/>
              </w:rPr>
            </w:pPr>
            <w:r>
              <w:rPr>
                <w:rFonts w:hint="eastAsia" w:ascii="宋体" w:hAnsi="宋体" w:cs="宋体"/>
                <w:sz w:val="24"/>
              </w:rPr>
              <w:t>梯架宽 B</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侧板</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横档</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盖板</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150＜B≤400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400＜B≤600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1.4</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600＜B≤800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1.8</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1000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1.8</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2.0</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0.6</w:t>
            </w:r>
          </w:p>
        </w:tc>
      </w:tr>
    </w:tbl>
    <w:p>
      <w:pPr>
        <w:autoSpaceDE w:val="0"/>
        <w:autoSpaceDN w:val="0"/>
        <w:adjustRightInd w:val="0"/>
        <w:ind w:left="1095" w:leftChars="350" w:hanging="360" w:hangingChars="150"/>
        <w:contextualSpacing/>
        <w:jc w:val="left"/>
        <w:rPr>
          <w:rFonts w:ascii="宋体" w:hAnsi="宋体" w:cs="宋体"/>
          <w:sz w:val="24"/>
        </w:rPr>
      </w:pPr>
    </w:p>
    <w:tbl>
      <w:tblPr>
        <w:tblStyle w:val="6"/>
        <w:tblW w:w="7370" w:type="dxa"/>
        <w:jc w:val="center"/>
        <w:tblCellSpacing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fixed"/>
        <w:tblCellMar>
          <w:top w:w="0" w:type="dxa"/>
          <w:left w:w="0" w:type="dxa"/>
          <w:bottom w:w="0" w:type="dxa"/>
          <w:right w:w="0" w:type="dxa"/>
        </w:tblCellMar>
      </w:tblPr>
      <w:tblGrid>
        <w:gridCol w:w="1958"/>
        <w:gridCol w:w="1387"/>
        <w:gridCol w:w="2082"/>
        <w:gridCol w:w="1943"/>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7370" w:type="dxa"/>
            <w:gridSpan w:val="4"/>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卡接式梯架板材最小允许厚度（mm）</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ind w:firstLine="360" w:firstLineChars="150"/>
              <w:contextualSpacing/>
              <w:jc w:val="left"/>
              <w:rPr>
                <w:rFonts w:ascii="宋体" w:hAnsi="宋体" w:cs="宋体"/>
                <w:sz w:val="24"/>
              </w:rPr>
            </w:pPr>
            <w:r>
              <w:rPr>
                <w:rFonts w:hint="eastAsia" w:ascii="宋体" w:hAnsi="宋体" w:cs="宋体"/>
                <w:sz w:val="24"/>
              </w:rPr>
              <w:t>梯架宽 B</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侧板</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横档</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盖板</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150＜B≤400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1.1</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0.7</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blCellSpacing w:w="0" w:type="dxa"/>
          <w:jc w:val="center"/>
        </w:trPr>
        <w:tc>
          <w:tcPr>
            <w:tcW w:w="1958"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400＜B≤600</w:t>
            </w:r>
          </w:p>
        </w:tc>
        <w:tc>
          <w:tcPr>
            <w:tcW w:w="1387"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1.1</w:t>
            </w:r>
          </w:p>
        </w:tc>
        <w:tc>
          <w:tcPr>
            <w:tcW w:w="2082"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1.2</w:t>
            </w:r>
          </w:p>
        </w:tc>
        <w:tc>
          <w:tcPr>
            <w:tcW w:w="1943" w:type="dxa"/>
            <w:vAlign w:val="center"/>
          </w:tcPr>
          <w:p>
            <w:pPr>
              <w:autoSpaceDE w:val="0"/>
              <w:autoSpaceDN w:val="0"/>
              <w:adjustRightInd w:val="0"/>
              <w:contextualSpacing/>
              <w:jc w:val="center"/>
              <w:rPr>
                <w:rFonts w:ascii="宋体" w:hAnsi="宋体" w:cs="宋体"/>
                <w:sz w:val="24"/>
              </w:rPr>
            </w:pPr>
            <w:r>
              <w:rPr>
                <w:rFonts w:hint="eastAsia" w:ascii="宋体" w:hAnsi="宋体" w:cs="宋体"/>
                <w:sz w:val="24"/>
              </w:rPr>
              <w:t>1.0</w:t>
            </w:r>
          </w:p>
        </w:tc>
      </w:tr>
    </w:tbl>
    <w:p>
      <w:pPr>
        <w:tabs>
          <w:tab w:val="left" w:pos="283"/>
        </w:tabs>
        <w:spacing w:line="425" w:lineRule="exact"/>
        <w:ind w:left="227"/>
        <w:contextualSpacing/>
        <w:rPr>
          <w:rFonts w:ascii="宋体" w:hAnsi="宋体" w:cs="宋体"/>
          <w:w w:val="90"/>
          <w:sz w:val="30"/>
          <w:szCs w:val="30"/>
        </w:rPr>
      </w:pP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竖井的井壁上设置集中电表箱、配电箱或控制箱等箱体时，其进线与出线均应穿可弯曲金属导管或钢管保护。</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穿管的绝缘导线以及敷设于电缆托盘、梯架、槽盒内的载流导线或电缆的总截面积，不应大于导管或电缆托盘、梯架、槽盒内净截面积的40%，控制、信号等导线或电缆的总截面积不应大于导管或电缆托盘、梯架、槽盒内净截面积的50%。(常用导线穿线管、槽盒规格可参见附表一、二)。</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同一回路的所有相线和中性线，应敷设在同一金属槽盒或金属导管内。</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消防用电设备的配电线路，除采用燃烧性能A级耐火电缆、矿物绝缘类不燃性电缆或敷设在电井、电缆沟内的情况外，当暗敷时，穿金属管并敷设在不燃烧体结构内且保护层厚度不小于30mm；明敷设时，采用不小于30min耐火极限的防火保护措施的金属管或封闭式金属槽盒。消防、非消防线路分开桥架敷设。</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电线或电缆在槽盒内不宜设置接头。当确需在槽盒内设置接头时，应采用专用连接件。</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当向同一负荷供电的两回路电源电缆，敷设在同一桥架上时，之间须用隔板隔开。</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不同电压等级的电力线缆不应共用同一导管或电缆桥架布线；电力线缆和智能化线缆不应共用同一导管或电缆桥架布线。</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特低压配电系统回路与低压配电回路同一金属槽盒时，采用带接地的金属隔离措施。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缆的弯曲半径一般不应小于电缆外径的:10倍(控制电缆、聚氯乙烯电力电缆)；15倍(多芯交联聚乙烯电力电缆)；20倍(单芯交联聚乙烯电力电缆),或以供货厂家要求为准。电缆桥架转角处做法应满足以上转弯半径的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弱电线管相关要求详见智能化或电气消防系统设计说明。</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导线颜色识别的规定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 xml:space="preserve">三相四线制系统： L1相-黄色；  L2相-绿色；  L3相-红色； </w:t>
      </w:r>
    </w:p>
    <w:p>
      <w:pPr>
        <w:tabs>
          <w:tab w:val="left" w:pos="283"/>
        </w:tabs>
        <w:spacing w:line="425" w:lineRule="exact"/>
        <w:ind w:firstLine="3510" w:firstLineChars="1300"/>
        <w:contextualSpacing/>
        <w:rPr>
          <w:rFonts w:ascii="宋体" w:hAnsi="宋体" w:cs="宋体"/>
          <w:w w:val="90"/>
          <w:sz w:val="30"/>
          <w:szCs w:val="30"/>
        </w:rPr>
      </w:pPr>
      <w:r>
        <w:rPr>
          <w:rFonts w:hint="eastAsia" w:ascii="宋体" w:hAnsi="宋体" w:cs="宋体"/>
          <w:w w:val="90"/>
          <w:sz w:val="30"/>
          <w:szCs w:val="30"/>
        </w:rPr>
        <w:t>中性线(N)-蓝色；   保护接地线(PE)-黄绿双色</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单相或两相系统：相线-不作规定；中性线(N):蓝色；</w:t>
      </w:r>
    </w:p>
    <w:p>
      <w:pPr>
        <w:tabs>
          <w:tab w:val="left" w:pos="283"/>
        </w:tabs>
        <w:spacing w:line="425" w:lineRule="exact"/>
        <w:ind w:left="340" w:firstLine="3240" w:firstLineChars="1200"/>
        <w:contextualSpacing/>
        <w:rPr>
          <w:rFonts w:ascii="宋体" w:hAnsi="宋体" w:cs="宋体"/>
          <w:w w:val="90"/>
          <w:sz w:val="30"/>
          <w:szCs w:val="30"/>
        </w:rPr>
      </w:pPr>
      <w:r>
        <w:rPr>
          <w:rFonts w:hint="eastAsia" w:ascii="宋体" w:hAnsi="宋体" w:cs="宋体"/>
          <w:w w:val="90"/>
          <w:sz w:val="30"/>
          <w:szCs w:val="30"/>
        </w:rPr>
        <w:t>保护接地线(PE):黄绿双色</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配电线路不得穿越通风管道内腔或直接敷设在通风管道外壁上，穿金属管保护的配电线路可紧贴通风管道外壁敷设。</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线路不应穿越或敷设在燃烧性能为B1或B2级的保温材料中；确需穿越或敷设时，应采取穿金属管并在金属管周围采用不燃隔热材料进行防火隔离等防火保护措施。设置开关、插座等电器配件的部位周围应采取不燃隔热材料进行防火隔离等防火保护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室外的电缆桥架进入室内或配电箱（柜）时应有防雨水进入的措施，电缆槽盒底部应有泄水孔。</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母线槽、电缆桥架和导管穿越建筑物变形缝处时设置补偿装置，做法详国标图集 08D800-6第31、57页。</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梯架、托盘、槽盒水平安装的支架间距宜为1.5m～3.0m，垂直安装的支架间距不应大于2m。</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母线水平敷设时，宜按荷载曲线选取最佳跨距进行支撑，且支撑点间距宜为2m～3m；垂直敷设时，在通过楼板处应采用专用附件支撑。进线盒及末端悬空时，应采用支架固定。</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电线电缆线路敷设安装未尽事宜参考国标图集中对应有关内容进行施工。</w:t>
      </w:r>
    </w:p>
    <w:p>
      <w:pPr>
        <w:spacing w:line="425" w:lineRule="exact"/>
        <w:contextualSpacing/>
        <w:rPr>
          <w:rFonts w:ascii="宋体" w:hAnsi="宋体" w:cs="宋体"/>
          <w:sz w:val="30"/>
          <w:szCs w:val="30"/>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设备选型与安装</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设备选型</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落地式配电柜、照明柜、控制柜柜体采用冷轧型钢和冷轧镀锌钢板弯制焊接而成，钢板厚度不小于2.0mm。</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配电箱、照明箱、控制箱长边小于1000mm的箱体，采用厚度不小于1.5mm的冷轧镀锌钢板。</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柜（箱）、照明柜（箱）、控制柜（箱）等在室内专用配电间、控制室等干燥场所内安装时其防护等级不低于IP30（应急照明配电箱、应急照明集中电源为IP33），与水泵设置在同一空间及潮湿场所内安装时其防护等级不低于IP55（应急照明配电箱、应急照明集中电源为IP65），室外安装时不低于IP54。可燃材料仓库的配电箱及开关应设置在仓库外。垃圾转运站作业区电源开关及插座防护等级不应低于IP55。</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景观照明设施的电气设备采用防尘、防水、节能型。</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交流电动机反转会引起危险的用电设备（如自动扶梯、旋转门等）应配套设置防止反转的安全措施。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需要设置急停按钮的被控用电设备（如擦窗机、自动扶梯、旋转门等）应配套设置急停按钮并设置在被控用电设备附近便于操作和观察处，且不得自动复位。</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消防设备配电、控制箱（柜）的箱（柜）体应有区别于环境的明显标识，说明文字应准确、清楚且易于识别,颜色、符号或标志应规范。所有箱（柜）均不应直接安装在可燃材料上。消防设备配电、控制箱（柜）应选择进、出线口分开设置在箱体下部的产品。消防设施手动操作按钮等装置处应采取防止误操作或被损坏的防护措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户内、户外公共场所安装的配电箱、控制箱等电气装置其箱体应配备专用锁具，并在箱体外壳上设置安全警示标记。</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插座均采用安全型插座。室内地面安装的插座除注明外防护等级不低于IP54。</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对建筑物内部产生噪声与振动的设备或设施，当其正常运行对噪声、振动敏感房间产生干扰时，应对其基础及连接管线采取隔振措施，并应符合GB 55016-2021 表2.1.4和表2.1.5的规定。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其余设备的选型、规格及主要技术要求另见设计图纸。</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设备安装</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照明配电箱、动力配电箱、控制箱等除在竖井、配电间、设备机房、车库、防火分区隔墙、剪力墙以及人防区外墙、临空墙、防护密闭隔墙、密闭隔墙上明装外，其他均为暗装。</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配电、控制箱的箱体高度600mm以下，底边距地1.5m；600mm~800mm高，底边距地1.2m；800mm~1000mm高，底边距地1.0m；1000mm~1200mm高，底边距地0.8m；1200mm以上，为落地式安装，下设300mm基础。</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户外配电设备的底部高出地面不应低于0.5m，地势低洼或易发生内涝区域的户外配电设备底部距地高度不低于1.5m。室外落地式配电箱（柜）底座周围采取封闭措施。落地安装的电气设备应安装在基础上或支座上。</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垃圾转运站作业区电源开关及插座应设置在离地面1.8m以上，安装方式详相关图纸。</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无障碍设施</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无障碍卫生间设置高低位救助呼唤按钮，呼唤按钮的高度为底边距地0.4和0.85m。</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无障碍服务设施内供使用者操控的照明、设备、设施的开关和调控面板应易于识别，距地面高度应为0.85m～1.10m。具体设置详见相关图纸。</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控制按钮、按钮箱为：</w:t>
      </w:r>
      <w:r>
        <w:rPr>
          <w:rFonts w:hint="eastAsia" w:ascii="宋体" w:hAnsi="宋体" w:cs="宋体"/>
          <w:w w:val="90"/>
          <w:sz w:val="30"/>
          <w:szCs w:val="30"/>
          <w:u w:val="single"/>
        </w:rPr>
        <w:t>挂墙安装,安装高度为底边距地1.5m。</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照明开关（除装修已注明高度外，未注明的设备按以下安装高度）为：</w:t>
      </w:r>
      <w:r>
        <w:rPr>
          <w:rFonts w:hint="eastAsia" w:ascii="宋体" w:hAnsi="宋体" w:cs="宋体"/>
          <w:w w:val="90"/>
          <w:sz w:val="30"/>
          <w:szCs w:val="30"/>
          <w:u w:val="single"/>
        </w:rPr>
        <w:t>暗装，安装高度底边距地 1.4m。</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风机盘管控制器、吊扇调速开关：</w:t>
      </w:r>
      <w:r>
        <w:rPr>
          <w:rFonts w:hint="eastAsia" w:ascii="宋体" w:hAnsi="宋体" w:cs="宋体"/>
          <w:w w:val="90"/>
          <w:sz w:val="30"/>
          <w:szCs w:val="30"/>
          <w:u w:val="single"/>
        </w:rPr>
        <w:t>明装，安装高度底边距地 1.4m。</w:t>
      </w:r>
    </w:p>
    <w:p>
      <w:pPr>
        <w:numPr>
          <w:ilvl w:val="2"/>
          <w:numId w:val="1"/>
        </w:numPr>
        <w:tabs>
          <w:tab w:val="left" w:pos="283"/>
        </w:tabs>
        <w:spacing w:line="425" w:lineRule="exact"/>
        <w:contextualSpacing/>
        <w:rPr>
          <w:rFonts w:ascii="宋体" w:hAnsi="宋体" w:cs="宋体"/>
          <w:w w:val="90"/>
          <w:sz w:val="30"/>
          <w:szCs w:val="30"/>
        </w:rPr>
      </w:pPr>
      <w:r>
        <w:rPr>
          <w:rFonts w:hint="eastAsia" w:ascii="宋体" w:hAnsi="宋体" w:cs="宋体"/>
          <w:w w:val="90"/>
          <w:sz w:val="30"/>
          <w:szCs w:val="30"/>
        </w:rPr>
        <w:t>插座安装（除装修已注明高度外，未注明的设备按以下安装高度）</w:t>
      </w:r>
    </w:p>
    <w:p>
      <w:pPr>
        <w:spacing w:line="425" w:lineRule="exact"/>
        <w:ind w:left="1134"/>
        <w:contextualSpacing/>
        <w:rPr>
          <w:rFonts w:ascii="宋体" w:hAnsi="宋体" w:cs="宋体"/>
          <w:w w:val="90"/>
          <w:sz w:val="30"/>
          <w:szCs w:val="30"/>
        </w:rPr>
      </w:pPr>
      <w:r>
        <w:rPr>
          <w:rFonts w:hint="eastAsia" w:ascii="宋体" w:hAnsi="宋体" w:cs="宋体"/>
          <w:w w:val="90"/>
          <w:sz w:val="30"/>
          <w:szCs w:val="30"/>
        </w:rPr>
        <w:t>一般插座：</w:t>
      </w:r>
      <w:r>
        <w:rPr>
          <w:rFonts w:hint="eastAsia" w:ascii="宋体" w:hAnsi="宋体" w:cs="宋体"/>
          <w:w w:val="90"/>
          <w:sz w:val="30"/>
          <w:szCs w:val="30"/>
          <w:u w:val="single"/>
        </w:rPr>
        <w:t>暗装，安装高度底边距地 0.3m。</w:t>
      </w:r>
    </w:p>
    <w:p>
      <w:pPr>
        <w:spacing w:line="425" w:lineRule="exact"/>
        <w:ind w:left="1134"/>
        <w:contextualSpacing/>
        <w:rPr>
          <w:rFonts w:ascii="宋体" w:hAnsi="宋体" w:cs="宋体"/>
          <w:w w:val="90"/>
          <w:sz w:val="30"/>
          <w:szCs w:val="30"/>
        </w:rPr>
      </w:pPr>
      <w:r>
        <w:rPr>
          <w:rFonts w:hint="eastAsia" w:ascii="宋体" w:hAnsi="宋体" w:cs="宋体"/>
          <w:w w:val="90"/>
          <w:sz w:val="30"/>
          <w:szCs w:val="30"/>
        </w:rPr>
        <w:t>设备房插座：</w:t>
      </w:r>
      <w:r>
        <w:rPr>
          <w:rFonts w:hint="eastAsia" w:ascii="宋体" w:hAnsi="宋体" w:cs="宋体"/>
          <w:w w:val="90"/>
          <w:sz w:val="30"/>
          <w:szCs w:val="30"/>
          <w:u w:val="single"/>
        </w:rPr>
        <w:t>暗装，安装高度底边距地 1.</w:t>
      </w:r>
      <w:r>
        <w:rPr>
          <w:rFonts w:hint="eastAsia" w:ascii="宋体" w:hAnsi="宋体" w:cs="宋体"/>
          <w:w w:val="90"/>
          <w:sz w:val="30"/>
          <w:szCs w:val="30"/>
          <w:u w:val="single"/>
          <w:lang w:val="en-US" w:eastAsia="zh-CN"/>
        </w:rPr>
        <w:t>5</w:t>
      </w:r>
      <w:r>
        <w:rPr>
          <w:rFonts w:hint="eastAsia" w:ascii="宋体" w:hAnsi="宋体" w:cs="宋体"/>
          <w:w w:val="90"/>
          <w:sz w:val="30"/>
          <w:szCs w:val="30"/>
          <w:u w:val="single"/>
        </w:rPr>
        <w:t>m。</w:t>
      </w:r>
    </w:p>
    <w:p>
      <w:pPr>
        <w:spacing w:line="425" w:lineRule="exact"/>
        <w:ind w:left="1134"/>
        <w:contextualSpacing/>
        <w:rPr>
          <w:rFonts w:ascii="宋体" w:hAnsi="宋体" w:cs="宋体"/>
          <w:w w:val="90"/>
          <w:sz w:val="30"/>
          <w:szCs w:val="30"/>
        </w:rPr>
      </w:pPr>
      <w:r>
        <w:rPr>
          <w:rFonts w:hint="eastAsia" w:ascii="宋体" w:hAnsi="宋体" w:cs="宋体"/>
          <w:w w:val="90"/>
          <w:sz w:val="30"/>
          <w:szCs w:val="30"/>
        </w:rPr>
        <w:t>插座箱：</w:t>
      </w:r>
      <w:r>
        <w:rPr>
          <w:rFonts w:hint="eastAsia" w:ascii="宋体" w:hAnsi="宋体" w:cs="宋体"/>
          <w:w w:val="90"/>
          <w:sz w:val="30"/>
          <w:szCs w:val="30"/>
          <w:u w:val="single"/>
        </w:rPr>
        <w:t>明装，安装高度底边距地 1.</w:t>
      </w:r>
      <w:r>
        <w:rPr>
          <w:rFonts w:hint="eastAsia" w:ascii="宋体" w:hAnsi="宋体" w:cs="宋体"/>
          <w:w w:val="90"/>
          <w:sz w:val="30"/>
          <w:szCs w:val="30"/>
          <w:u w:val="single"/>
          <w:lang w:val="en-US" w:eastAsia="zh-CN"/>
        </w:rPr>
        <w:t>5</w:t>
      </w:r>
      <w:r>
        <w:rPr>
          <w:rFonts w:hint="eastAsia" w:ascii="宋体" w:hAnsi="宋体" w:cs="宋体"/>
          <w:w w:val="90"/>
          <w:sz w:val="30"/>
          <w:szCs w:val="30"/>
          <w:u w:val="single"/>
        </w:rPr>
        <w:t>m。</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安全出口、疏散出口标志灯安装：出口上方底边距门顶0.2m或吊天花底，吊天花底时安装高度距地</w:t>
      </w:r>
      <w:r>
        <w:rPr>
          <w:rFonts w:hint="eastAsia" w:ascii="宋体" w:hAnsi="宋体" w:cs="宋体"/>
          <w:w w:val="90"/>
          <w:sz w:val="30"/>
          <w:szCs w:val="30"/>
          <w:u w:val="single"/>
        </w:rPr>
        <w:t>详平面图</w:t>
      </w:r>
      <w:r>
        <w:rPr>
          <w:rFonts w:hint="eastAsia" w:ascii="宋体" w:hAnsi="宋体" w:cs="宋体"/>
          <w:w w:val="90"/>
          <w:sz w:val="30"/>
          <w:szCs w:val="30"/>
        </w:rPr>
        <w:t>。</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疏散指示标志灯在墙上暗装或在柱上明装，</w:t>
      </w:r>
      <w:r>
        <w:rPr>
          <w:rFonts w:hint="eastAsia" w:ascii="宋体" w:hAnsi="宋体" w:cs="宋体"/>
          <w:w w:val="90"/>
          <w:sz w:val="30"/>
          <w:szCs w:val="30"/>
          <w:u w:val="single"/>
        </w:rPr>
        <w:t>安装高度底边距地：0.3 m</w:t>
      </w:r>
      <w:r>
        <w:rPr>
          <w:rFonts w:hint="eastAsia" w:ascii="宋体" w:hAnsi="宋体" w:cs="宋体"/>
          <w:w w:val="90"/>
          <w:sz w:val="30"/>
          <w:szCs w:val="30"/>
        </w:rPr>
        <w:t>。</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疏散照明灯吸顶或挂墙安装，挂墙安装时，</w:t>
      </w:r>
      <w:r>
        <w:rPr>
          <w:rFonts w:hint="eastAsia" w:ascii="宋体" w:hAnsi="宋体" w:cs="宋体"/>
          <w:w w:val="90"/>
          <w:sz w:val="30"/>
          <w:szCs w:val="30"/>
          <w:u w:val="single"/>
        </w:rPr>
        <w:t>安装高度底边距地2.4m</w:t>
      </w:r>
      <w:r>
        <w:rPr>
          <w:rFonts w:hint="eastAsia" w:ascii="宋体" w:hAnsi="宋体" w:cs="宋体"/>
          <w:w w:val="90"/>
          <w:sz w:val="30"/>
          <w:szCs w:val="30"/>
        </w:rPr>
        <w:t>。</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上述所有设备安装距地高度以建筑完成面为基准；当平面图中对设备安装高度和方式另有说明时，以平面图为准。</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当安装高度与火灾自动报警设备、智能化弱电设备高度存在明显不协调时，应重新协商安装高度。</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开关、插座和照明灯具靠近可燃物时，应采取隔热、散热等防火措施。卤钨灯和额定功率不小于100W的白炽灯泡的吸顶灯、槽灯、嵌入式灯，其引入线应采用瓷管、矿棉等不燃材料作隔热保护。额定功率不小于60W的白炽灯、卤钨灯、高压钠灯、金属卤化物灯、荧光高压汞灯(包括电感镇流器)等，不应直接安装在可燃物体上或采取其他防火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筑内部的配电箱、控制面板、接线盒、开关、插座等不应直接安装在低于B1级的装修材料上。照明灯具及电气设备、线路的高温部位，当靠近非A级装修材料或构件时，应采取隔热、散热等防火保护措施，与窗帘、帷幕、幕布、软包等装修材料的距离不应小于500mm；灯饰应采用不低于B1级的材料。</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专用蓄电池室内灯具、开关和电源插座均为防爆型。</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其他关于设备安装未尽事宜参考国标图集中对应有关内容进行施工。</w:t>
      </w:r>
    </w:p>
    <w:p>
      <w:pPr>
        <w:spacing w:line="425" w:lineRule="exact"/>
        <w:contextualSpacing/>
        <w:rPr>
          <w:rFonts w:ascii="宋体" w:hAnsi="宋体" w:cs="宋体"/>
          <w:sz w:val="30"/>
          <w:szCs w:val="30"/>
        </w:rPr>
      </w:pPr>
    </w:p>
    <w:p>
      <w:pPr>
        <w:numPr>
          <w:ilvl w:val="0"/>
          <w:numId w:val="1"/>
        </w:numPr>
        <w:tabs>
          <w:tab w:val="left" w:pos="283"/>
          <w:tab w:val="clear" w:pos="0"/>
        </w:tabs>
        <w:spacing w:line="425" w:lineRule="exact"/>
        <w:contextualSpacing/>
        <w:rPr>
          <w:rFonts w:ascii="宋体" w:hAnsi="宋体" w:cs="宋体"/>
          <w:sz w:val="32"/>
          <w:szCs w:val="32"/>
        </w:rPr>
      </w:pPr>
      <w:r>
        <w:rPr>
          <w:rFonts w:hint="eastAsia" w:ascii="宋体" w:hAnsi="宋体" w:cs="宋体"/>
          <w:sz w:val="32"/>
          <w:szCs w:val="32"/>
        </w:rPr>
        <w:t>照明设计</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照明要求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光源选择：一般场所采用三基色荧光灯、紧凑型荧光灯、金属卤化物灯、LED灯等节能型光源，有装修要求的场所视装修要求商定；光源色温宜在3300K~ 5300K之间（根据场所功能和使用要求确定）。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u w:val="single"/>
        </w:rPr>
        <w:t>主要场所照明标准值</w:t>
      </w:r>
      <w:r>
        <w:rPr>
          <w:rFonts w:hint="eastAsia" w:ascii="宋体" w:hAnsi="宋体" w:cs="宋体"/>
          <w:w w:val="90"/>
          <w:sz w:val="30"/>
          <w:szCs w:val="30"/>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523"/>
        <w:gridCol w:w="1595"/>
        <w:gridCol w:w="1533"/>
        <w:gridCol w:w="856"/>
        <w:gridCol w:w="636"/>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tcPr>
          <w:p>
            <w:pPr>
              <w:spacing w:line="425" w:lineRule="exact"/>
              <w:rPr>
                <w:rFonts w:ascii="宋体" w:hAnsi="宋体" w:cs="宋体"/>
                <w:sz w:val="24"/>
              </w:rPr>
            </w:pPr>
            <w:r>
              <w:rPr>
                <w:rFonts w:hint="eastAsia" w:ascii="宋体" w:hAnsi="宋体" w:cs="宋体"/>
                <w:sz w:val="24"/>
              </w:rPr>
              <w:t>场所或房间</w:t>
            </w:r>
          </w:p>
        </w:tc>
        <w:tc>
          <w:tcPr>
            <w:tcW w:w="1523" w:type="dxa"/>
            <w:shd w:val="clear" w:color="auto" w:fill="auto"/>
          </w:tcPr>
          <w:p>
            <w:pPr>
              <w:spacing w:line="425" w:lineRule="exact"/>
              <w:rPr>
                <w:rFonts w:ascii="宋体" w:hAnsi="宋体" w:cs="宋体"/>
                <w:sz w:val="24"/>
              </w:rPr>
            </w:pPr>
            <w:r>
              <w:rPr>
                <w:rFonts w:hint="eastAsia" w:ascii="宋体" w:hAnsi="宋体" w:cs="宋体"/>
                <w:sz w:val="24"/>
              </w:rPr>
              <w:t>参考平面及其高度</w:t>
            </w:r>
          </w:p>
        </w:tc>
        <w:tc>
          <w:tcPr>
            <w:tcW w:w="1595" w:type="dxa"/>
            <w:shd w:val="clear" w:color="auto" w:fill="auto"/>
          </w:tcPr>
          <w:p>
            <w:pPr>
              <w:spacing w:line="425" w:lineRule="exact"/>
              <w:rPr>
                <w:rFonts w:ascii="宋体" w:hAnsi="宋体" w:cs="宋体"/>
                <w:sz w:val="24"/>
              </w:rPr>
            </w:pPr>
            <w:r>
              <w:rPr>
                <w:rFonts w:hint="eastAsia" w:ascii="宋体" w:hAnsi="宋体" w:cs="宋体"/>
                <w:sz w:val="24"/>
              </w:rPr>
              <w:t>照度标准值（lx）</w:t>
            </w:r>
          </w:p>
        </w:tc>
        <w:tc>
          <w:tcPr>
            <w:tcW w:w="1533" w:type="dxa"/>
            <w:shd w:val="clear" w:color="auto" w:fill="auto"/>
          </w:tcPr>
          <w:p>
            <w:pPr>
              <w:spacing w:line="425" w:lineRule="exact"/>
              <w:rPr>
                <w:rFonts w:ascii="宋体" w:hAnsi="宋体" w:cs="宋体"/>
                <w:sz w:val="24"/>
              </w:rPr>
            </w:pPr>
            <w:r>
              <w:rPr>
                <w:rFonts w:hint="eastAsia" w:ascii="宋体" w:hAnsi="宋体" w:cs="宋体"/>
                <w:sz w:val="24"/>
              </w:rPr>
              <w:t>LPD限值（W/m</w:t>
            </w:r>
            <w:r>
              <w:rPr>
                <w:rFonts w:hint="eastAsia" w:ascii="宋体" w:hAnsi="宋体" w:cs="宋体"/>
                <w:sz w:val="24"/>
                <w:vertAlign w:val="superscript"/>
              </w:rPr>
              <w:t>2</w:t>
            </w:r>
            <w:r>
              <w:rPr>
                <w:rFonts w:hint="eastAsia" w:ascii="宋体" w:hAnsi="宋体" w:cs="宋体"/>
                <w:sz w:val="24"/>
              </w:rPr>
              <w:t>）</w:t>
            </w:r>
          </w:p>
        </w:tc>
        <w:tc>
          <w:tcPr>
            <w:tcW w:w="856" w:type="dxa"/>
            <w:shd w:val="clear" w:color="auto" w:fill="auto"/>
          </w:tcPr>
          <w:p>
            <w:pPr>
              <w:spacing w:line="425" w:lineRule="exact"/>
              <w:rPr>
                <w:rFonts w:ascii="宋体" w:hAnsi="宋体" w:cs="宋体"/>
                <w:sz w:val="24"/>
              </w:rPr>
            </w:pPr>
            <w:r>
              <w:rPr>
                <w:rFonts w:hint="eastAsia" w:ascii="宋体" w:hAnsi="宋体" w:cs="宋体"/>
                <w:sz w:val="24"/>
              </w:rPr>
              <w:t>UGR</w:t>
            </w:r>
          </w:p>
        </w:tc>
        <w:tc>
          <w:tcPr>
            <w:tcW w:w="636" w:type="dxa"/>
            <w:shd w:val="clear" w:color="auto" w:fill="auto"/>
          </w:tcPr>
          <w:p>
            <w:pPr>
              <w:spacing w:line="425" w:lineRule="exact"/>
              <w:rPr>
                <w:rFonts w:ascii="宋体" w:hAnsi="宋体" w:cs="宋体"/>
                <w:sz w:val="24"/>
              </w:rPr>
            </w:pPr>
            <w:r>
              <w:rPr>
                <w:rFonts w:hint="eastAsia" w:ascii="宋体" w:hAnsi="宋体" w:cs="宋体"/>
                <w:sz w:val="24"/>
              </w:rPr>
              <w:t>Ra</w:t>
            </w:r>
          </w:p>
        </w:tc>
        <w:tc>
          <w:tcPr>
            <w:tcW w:w="923" w:type="dxa"/>
            <w:shd w:val="clear" w:color="auto" w:fill="auto"/>
          </w:tcPr>
          <w:p>
            <w:pPr>
              <w:spacing w:line="425" w:lineRule="exact"/>
              <w:rPr>
                <w:rFonts w:ascii="宋体" w:hAnsi="宋体" w:cs="宋体"/>
                <w:sz w:val="24"/>
              </w:rPr>
            </w:pPr>
            <w:r>
              <w:rPr>
                <w:rFonts w:hint="eastAsia" w:ascii="宋体" w:hAnsi="宋体" w:cs="宋体"/>
                <w:sz w:val="24"/>
              </w:rPr>
              <w:t>U0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走道</w:t>
            </w:r>
          </w:p>
        </w:tc>
        <w:tc>
          <w:tcPr>
            <w:tcW w:w="1523" w:type="dxa"/>
            <w:shd w:val="clear" w:color="auto" w:fill="auto"/>
            <w:vAlign w:val="center"/>
          </w:tcPr>
          <w:p>
            <w:pPr>
              <w:spacing w:line="360" w:lineRule="auto"/>
              <w:rPr>
                <w:rFonts w:ascii="Romantic" w:hAnsi="Romantic"/>
                <w:sz w:val="24"/>
              </w:rPr>
            </w:pPr>
            <w:r>
              <w:rPr>
                <w:rFonts w:ascii="Romantic" w:hAnsi="Romantic"/>
                <w:sz w:val="24"/>
              </w:rPr>
              <w:t>地面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护士站</w:t>
            </w:r>
          </w:p>
        </w:tc>
        <w:tc>
          <w:tcPr>
            <w:tcW w:w="1523" w:type="dxa"/>
            <w:shd w:val="clear" w:color="auto" w:fill="auto"/>
            <w:vAlign w:val="center"/>
          </w:tcPr>
          <w:p>
            <w:pPr>
              <w:spacing w:line="360" w:lineRule="auto"/>
              <w:rPr>
                <w:rFonts w:ascii="Romantic" w:hAnsi="Romantic"/>
                <w:sz w:val="24"/>
              </w:rPr>
            </w:pPr>
            <w:r>
              <w:rPr>
                <w:rFonts w:ascii="Romantic" w:hAnsi="Romantic"/>
                <w:sz w:val="24"/>
              </w:rPr>
              <w:t>水平面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卫生间</w:t>
            </w:r>
          </w:p>
        </w:tc>
        <w:tc>
          <w:tcPr>
            <w:tcW w:w="1523" w:type="dxa"/>
            <w:shd w:val="clear" w:color="auto" w:fill="auto"/>
            <w:vAlign w:val="center"/>
          </w:tcPr>
          <w:p>
            <w:pPr>
              <w:spacing w:line="360" w:lineRule="auto"/>
              <w:rPr>
                <w:rFonts w:ascii="Romantic" w:hAnsi="Romantic"/>
                <w:sz w:val="24"/>
              </w:rPr>
            </w:pPr>
            <w:r>
              <w:rPr>
                <w:rFonts w:ascii="Romantic" w:hAnsi="Romantic"/>
                <w:sz w:val="24"/>
              </w:rPr>
              <w:t>地面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办公室</w:t>
            </w:r>
          </w:p>
        </w:tc>
        <w:tc>
          <w:tcPr>
            <w:tcW w:w="1523" w:type="dxa"/>
            <w:shd w:val="clear" w:color="auto" w:fill="auto"/>
            <w:vAlign w:val="center"/>
          </w:tcPr>
          <w:p>
            <w:pPr>
              <w:spacing w:line="360" w:lineRule="auto"/>
              <w:rPr>
                <w:rFonts w:ascii="Romantic" w:hAnsi="Romantic"/>
                <w:sz w:val="24"/>
              </w:rPr>
            </w:pPr>
            <w:r>
              <w:rPr>
                <w:rFonts w:ascii="Romantic" w:hAnsi="Romantic"/>
                <w:sz w:val="24"/>
              </w:rPr>
              <w:t>水平面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风机房</w:t>
            </w:r>
          </w:p>
        </w:tc>
        <w:tc>
          <w:tcPr>
            <w:tcW w:w="1523" w:type="dxa"/>
            <w:shd w:val="clear" w:color="auto" w:fill="auto"/>
            <w:vAlign w:val="center"/>
          </w:tcPr>
          <w:p>
            <w:pPr>
              <w:spacing w:line="360" w:lineRule="auto"/>
              <w:rPr>
                <w:rFonts w:ascii="Romantic" w:hAnsi="Romantic"/>
                <w:sz w:val="24"/>
              </w:rPr>
            </w:pPr>
            <w:r>
              <w:rPr>
                <w:rFonts w:ascii="Romantic" w:hAnsi="Romantic"/>
                <w:sz w:val="24"/>
              </w:rPr>
              <w:t>地面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治疗室</w:t>
            </w:r>
          </w:p>
        </w:tc>
        <w:tc>
          <w:tcPr>
            <w:tcW w:w="1523" w:type="dxa"/>
            <w:shd w:val="clear" w:color="auto" w:fill="auto"/>
            <w:vAlign w:val="center"/>
          </w:tcPr>
          <w:p>
            <w:pPr>
              <w:spacing w:line="360" w:lineRule="auto"/>
              <w:rPr>
                <w:rFonts w:ascii="Romantic" w:hAnsi="Romantic"/>
                <w:sz w:val="24"/>
              </w:rPr>
            </w:pPr>
            <w:r>
              <w:rPr>
                <w:rFonts w:ascii="Romantic" w:hAnsi="Romantic"/>
                <w:sz w:val="24"/>
              </w:rPr>
              <w:t>水平面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诊室</w:t>
            </w:r>
          </w:p>
        </w:tc>
        <w:tc>
          <w:tcPr>
            <w:tcW w:w="1523" w:type="dxa"/>
            <w:shd w:val="clear" w:color="auto" w:fill="auto"/>
            <w:vAlign w:val="center"/>
          </w:tcPr>
          <w:p>
            <w:pPr>
              <w:spacing w:line="360" w:lineRule="auto"/>
              <w:rPr>
                <w:rFonts w:ascii="Romantic" w:hAnsi="Romantic"/>
                <w:sz w:val="24"/>
              </w:rPr>
            </w:pPr>
            <w:r>
              <w:rPr>
                <w:rFonts w:ascii="Romantic" w:hAnsi="Romantic"/>
                <w:sz w:val="24"/>
              </w:rPr>
              <w:t>水平面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候诊区</w:t>
            </w:r>
          </w:p>
        </w:tc>
        <w:tc>
          <w:tcPr>
            <w:tcW w:w="1523" w:type="dxa"/>
            <w:shd w:val="clear" w:color="auto" w:fill="auto"/>
            <w:vAlign w:val="center"/>
          </w:tcPr>
          <w:p>
            <w:pPr>
              <w:spacing w:line="360" w:lineRule="auto"/>
              <w:rPr>
                <w:rFonts w:ascii="Romantic" w:hAnsi="Romantic"/>
                <w:sz w:val="24"/>
              </w:rPr>
            </w:pPr>
            <w:r>
              <w:rPr>
                <w:rFonts w:ascii="Romantic" w:hAnsi="Romantic"/>
                <w:sz w:val="24"/>
              </w:rPr>
              <w:t>水平面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vAlign w:val="center"/>
          </w:tcPr>
          <w:p>
            <w:pPr>
              <w:spacing w:line="360" w:lineRule="auto"/>
              <w:rPr>
                <w:rFonts w:ascii="Romantic" w:hAnsi="Romantic"/>
                <w:sz w:val="24"/>
              </w:rPr>
            </w:pPr>
            <w:r>
              <w:rPr>
                <w:rFonts w:ascii="Romantic" w:hAnsi="Romantic"/>
                <w:sz w:val="24"/>
              </w:rPr>
              <w:t>药房</w:t>
            </w:r>
          </w:p>
        </w:tc>
        <w:tc>
          <w:tcPr>
            <w:tcW w:w="1523" w:type="dxa"/>
            <w:shd w:val="clear" w:color="auto" w:fill="auto"/>
            <w:vAlign w:val="center"/>
          </w:tcPr>
          <w:p>
            <w:pPr>
              <w:spacing w:line="360" w:lineRule="auto"/>
              <w:rPr>
                <w:rFonts w:ascii="Romantic" w:hAnsi="Romantic"/>
                <w:sz w:val="24"/>
              </w:rPr>
            </w:pPr>
            <w:r>
              <w:rPr>
                <w:rFonts w:ascii="Romantic" w:hAnsi="Romantic"/>
                <w:sz w:val="24"/>
              </w:rPr>
              <w:t>水平面</w:t>
            </w:r>
          </w:p>
        </w:tc>
        <w:tc>
          <w:tcPr>
            <w:tcW w:w="1595" w:type="dxa"/>
            <w:shd w:val="clear" w:color="auto" w:fill="auto"/>
            <w:vAlign w:val="center"/>
          </w:tcPr>
          <w:p>
            <w:pPr>
              <w:spacing w:line="360" w:lineRule="auto"/>
              <w:rPr>
                <w:rFonts w:ascii="Romantic" w:hAnsi="Romantic"/>
                <w:sz w:val="24"/>
              </w:rPr>
            </w:pPr>
            <w:r>
              <w:rPr>
                <w:rFonts w:ascii="Romantic" w:hAnsi="Romantic"/>
                <w:sz w:val="24"/>
              </w:rPr>
              <w:t></w:t>
            </w:r>
          </w:p>
        </w:tc>
        <w:tc>
          <w:tcPr>
            <w:tcW w:w="1533" w:type="dxa"/>
            <w:shd w:val="clear" w:color="auto" w:fill="auto"/>
            <w:vAlign w:val="center"/>
          </w:tcPr>
          <w:p>
            <w:pPr>
              <w:spacing w:line="360" w:lineRule="auto"/>
              <w:rPr>
                <w:rFonts w:ascii="Romantic" w:hAnsi="Romantic"/>
                <w:sz w:val="24"/>
              </w:rPr>
            </w:pPr>
            <w:r>
              <w:rPr>
                <w:rFonts w:ascii="Romantic" w:hAnsi="Romantic"/>
                <w:sz w:val="24"/>
              </w:rPr>
              <w:t></w:t>
            </w:r>
          </w:p>
        </w:tc>
        <w:tc>
          <w:tcPr>
            <w:tcW w:w="856" w:type="dxa"/>
            <w:shd w:val="clear" w:color="auto" w:fill="auto"/>
            <w:vAlign w:val="center"/>
          </w:tcPr>
          <w:p>
            <w:pPr>
              <w:spacing w:line="360" w:lineRule="auto"/>
              <w:rPr>
                <w:rFonts w:ascii="Romantic" w:hAnsi="Romantic"/>
                <w:sz w:val="24"/>
              </w:rPr>
            </w:pPr>
            <w:r>
              <w:rPr>
                <w:rFonts w:ascii="Romantic" w:hAnsi="Romantic"/>
                <w:sz w:val="24"/>
              </w:rPr>
              <w:t></w:t>
            </w:r>
          </w:p>
        </w:tc>
        <w:tc>
          <w:tcPr>
            <w:tcW w:w="636" w:type="dxa"/>
            <w:shd w:val="clear" w:color="auto" w:fill="auto"/>
            <w:vAlign w:val="center"/>
          </w:tcPr>
          <w:p>
            <w:pPr>
              <w:spacing w:line="360" w:lineRule="auto"/>
              <w:rPr>
                <w:rFonts w:ascii="Romantic" w:hAnsi="Romantic"/>
                <w:sz w:val="24"/>
              </w:rPr>
            </w:pPr>
            <w:r>
              <w:rPr>
                <w:rFonts w:ascii="Romantic" w:hAnsi="Romantic"/>
                <w:sz w:val="24"/>
              </w:rPr>
              <w:t></w:t>
            </w:r>
          </w:p>
        </w:tc>
        <w:tc>
          <w:tcPr>
            <w:tcW w:w="923" w:type="dxa"/>
            <w:shd w:val="clear" w:color="auto" w:fill="auto"/>
            <w:vAlign w:val="center"/>
          </w:tcPr>
          <w:p>
            <w:pPr>
              <w:spacing w:line="360" w:lineRule="auto"/>
              <w:rPr>
                <w:rFonts w:ascii="Romantic" w:hAnsi="Romantic"/>
                <w:sz w:val="24"/>
              </w:rPr>
            </w:pPr>
            <w:r>
              <w:rPr>
                <w:rFonts w:ascii="Romantic" w:hAnsi="Romantic"/>
                <w:sz w:val="24"/>
              </w:rPr>
              <w:t></w:t>
            </w:r>
          </w:p>
        </w:tc>
      </w:tr>
    </w:tbl>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 xml:space="preserve">   </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在满足眩光限制和配光要求条件下，选用效率或效能高的灯具，并符合下列规定：</w:t>
      </w:r>
      <w:r>
        <w:rPr>
          <w:rFonts w:hint="eastAsia" w:ascii="宋体" w:hAnsi="宋体" w:cs="宋体"/>
          <w:w w:val="90"/>
          <w:sz w:val="30"/>
          <w:szCs w:val="30"/>
        </w:rPr>
        <w:tab/>
      </w:r>
      <w:r>
        <w:rPr>
          <w:rFonts w:hint="eastAsia" w:ascii="宋体" w:hAnsi="宋体" w:cs="宋体"/>
          <w:w w:val="90"/>
          <w:sz w:val="30"/>
          <w:szCs w:val="30"/>
        </w:rPr>
        <w:tab/>
      </w:r>
    </w:p>
    <w:tbl>
      <w:tblPr>
        <w:tblStyle w:val="6"/>
        <w:tblW w:w="7504" w:type="dxa"/>
        <w:tblInd w:w="2242" w:type="dxa"/>
        <w:tblLayout w:type="fixed"/>
        <w:tblCellMar>
          <w:top w:w="0" w:type="dxa"/>
          <w:left w:w="108" w:type="dxa"/>
          <w:bottom w:w="0" w:type="dxa"/>
          <w:right w:w="108" w:type="dxa"/>
        </w:tblCellMar>
      </w:tblPr>
      <w:tblGrid>
        <w:gridCol w:w="1856"/>
        <w:gridCol w:w="180"/>
        <w:gridCol w:w="812"/>
        <w:gridCol w:w="79"/>
        <w:gridCol w:w="1003"/>
        <w:gridCol w:w="1003"/>
        <w:gridCol w:w="891"/>
        <w:gridCol w:w="860"/>
        <w:gridCol w:w="820"/>
      </w:tblGrid>
      <w:tr>
        <w:tblPrEx>
          <w:tblCellMar>
            <w:top w:w="0" w:type="dxa"/>
            <w:left w:w="108" w:type="dxa"/>
            <w:bottom w:w="0" w:type="dxa"/>
            <w:right w:w="108" w:type="dxa"/>
          </w:tblCellMar>
        </w:tblPrEx>
        <w:trPr>
          <w:trHeight w:val="287" w:hRule="atLeast"/>
        </w:trPr>
        <w:tc>
          <w:tcPr>
            <w:tcW w:w="5824" w:type="dxa"/>
            <w:gridSpan w:val="7"/>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直管形荧光灯灯具的效率(﹪)</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1856" w:type="dxa"/>
            <w:vMerge w:val="restart"/>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灯具出光口形式</w:t>
            </w:r>
          </w:p>
        </w:tc>
        <w:tc>
          <w:tcPr>
            <w:tcW w:w="992" w:type="dxa"/>
            <w:gridSpan w:val="2"/>
            <w:vMerge w:val="restart"/>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开敞式</w:t>
            </w:r>
          </w:p>
        </w:tc>
        <w:tc>
          <w:tcPr>
            <w:tcW w:w="2085"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保护罩(玻璃或塑料)</w:t>
            </w:r>
          </w:p>
        </w:tc>
        <w:tc>
          <w:tcPr>
            <w:tcW w:w="891" w:type="dxa"/>
            <w:vMerge w:val="restart"/>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格栅</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1856" w:type="dxa"/>
            <w:vMerge w:val="continue"/>
            <w:tcBorders>
              <w:top w:val="nil"/>
              <w:left w:val="single" w:color="auto" w:sz="8" w:space="0"/>
              <w:bottom w:val="single" w:color="000000" w:sz="8" w:space="0"/>
              <w:right w:val="single" w:color="auto" w:sz="8" w:space="0"/>
            </w:tcBorders>
            <w:vAlign w:val="center"/>
          </w:tcPr>
          <w:p>
            <w:pPr>
              <w:widowControl/>
              <w:contextualSpacing/>
              <w:jc w:val="left"/>
              <w:rPr>
                <w:rFonts w:ascii="宋体" w:hAnsi="宋体" w:cs="宋体"/>
                <w:sz w:val="24"/>
              </w:rPr>
            </w:pPr>
          </w:p>
        </w:tc>
        <w:tc>
          <w:tcPr>
            <w:tcW w:w="992" w:type="dxa"/>
            <w:gridSpan w:val="2"/>
            <w:vMerge w:val="continue"/>
            <w:tcBorders>
              <w:top w:val="nil"/>
              <w:left w:val="single" w:color="auto" w:sz="8" w:space="0"/>
              <w:bottom w:val="single" w:color="000000" w:sz="8" w:space="0"/>
              <w:right w:val="single" w:color="auto" w:sz="8" w:space="0"/>
            </w:tcBorders>
            <w:vAlign w:val="center"/>
          </w:tcPr>
          <w:p>
            <w:pPr>
              <w:widowControl/>
              <w:contextualSpacing/>
              <w:jc w:val="left"/>
              <w:rPr>
                <w:rFonts w:ascii="宋体" w:hAnsi="宋体" w:cs="宋体"/>
                <w:sz w:val="24"/>
              </w:rPr>
            </w:pPr>
          </w:p>
        </w:tc>
        <w:tc>
          <w:tcPr>
            <w:tcW w:w="1082"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透明</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棱镜</w:t>
            </w:r>
          </w:p>
        </w:tc>
        <w:tc>
          <w:tcPr>
            <w:tcW w:w="891" w:type="dxa"/>
            <w:vMerge w:val="continue"/>
            <w:tcBorders>
              <w:top w:val="nil"/>
              <w:left w:val="single" w:color="auto" w:sz="8" w:space="0"/>
              <w:bottom w:val="single" w:color="000000" w:sz="8" w:space="0"/>
              <w:right w:val="single" w:color="auto" w:sz="8" w:space="0"/>
            </w:tcBorders>
            <w:vAlign w:val="center"/>
          </w:tcPr>
          <w:p>
            <w:pPr>
              <w:widowControl/>
              <w:contextualSpacing/>
              <w:jc w:val="left"/>
              <w:rPr>
                <w:rFonts w:ascii="宋体" w:hAnsi="宋体" w:cs="宋体"/>
                <w:sz w:val="24"/>
              </w:rPr>
            </w:pP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1856" w:type="dxa"/>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灯具效率</w:t>
            </w:r>
          </w:p>
        </w:tc>
        <w:tc>
          <w:tcPr>
            <w:tcW w:w="992"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75</w:t>
            </w:r>
          </w:p>
        </w:tc>
        <w:tc>
          <w:tcPr>
            <w:tcW w:w="1082"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70</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55</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65</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72" w:hRule="atLeast"/>
        </w:trPr>
        <w:tc>
          <w:tcPr>
            <w:tcW w:w="1856"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992"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82"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03"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91"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5824" w:type="dxa"/>
            <w:gridSpan w:val="7"/>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紧凑型荧光灯筒灯灯具的效率(﹪)</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灯具出光口形式</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开敞式</w:t>
            </w:r>
          </w:p>
        </w:tc>
        <w:tc>
          <w:tcPr>
            <w:tcW w:w="2006"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保护罩</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格栅</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灯具效率</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55</w:t>
            </w:r>
          </w:p>
        </w:tc>
        <w:tc>
          <w:tcPr>
            <w:tcW w:w="2006"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50</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45</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72" w:hRule="atLeast"/>
        </w:trPr>
        <w:tc>
          <w:tcPr>
            <w:tcW w:w="2036"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91"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03"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03"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91"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5824" w:type="dxa"/>
            <w:gridSpan w:val="7"/>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小功率金属卤化物灯筒灯灯具的效率(﹪)</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灯具出光口形式</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开敞式</w:t>
            </w:r>
          </w:p>
        </w:tc>
        <w:tc>
          <w:tcPr>
            <w:tcW w:w="2006"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保护罩</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格栅</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灯具效率</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60</w:t>
            </w:r>
          </w:p>
        </w:tc>
        <w:tc>
          <w:tcPr>
            <w:tcW w:w="2006"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55</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50</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72" w:hRule="atLeast"/>
        </w:trPr>
        <w:tc>
          <w:tcPr>
            <w:tcW w:w="2036"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91"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03"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03"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91"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rPr>
          <w:trHeight w:val="287" w:hRule="atLeast"/>
        </w:trPr>
        <w:tc>
          <w:tcPr>
            <w:tcW w:w="5824" w:type="dxa"/>
            <w:gridSpan w:val="7"/>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高强度气体放电灯灯具的效率(﹪)</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灯具出光口形式</w:t>
            </w:r>
          </w:p>
        </w:tc>
        <w:tc>
          <w:tcPr>
            <w:tcW w:w="1894" w:type="dxa"/>
            <w:gridSpan w:val="3"/>
            <w:tcBorders>
              <w:top w:val="single" w:color="auto" w:sz="8" w:space="0"/>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开敞式</w:t>
            </w:r>
          </w:p>
        </w:tc>
        <w:tc>
          <w:tcPr>
            <w:tcW w:w="1894"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格栅或透明罩</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灯具效率</w:t>
            </w:r>
          </w:p>
        </w:tc>
        <w:tc>
          <w:tcPr>
            <w:tcW w:w="1894"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75</w:t>
            </w:r>
          </w:p>
        </w:tc>
        <w:tc>
          <w:tcPr>
            <w:tcW w:w="1894"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60</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72" w:hRule="atLeast"/>
        </w:trPr>
        <w:tc>
          <w:tcPr>
            <w:tcW w:w="2036"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91" w:type="dxa"/>
            <w:gridSpan w:val="2"/>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03"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1003"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91" w:type="dxa"/>
            <w:tcBorders>
              <w:top w:val="nil"/>
              <w:left w:val="nil"/>
              <w:bottom w:val="nil"/>
              <w:right w:val="nil"/>
            </w:tcBorders>
            <w:vAlign w:val="center"/>
          </w:tcPr>
          <w:p>
            <w:pPr>
              <w:widowControl/>
              <w:contextualSpacing/>
              <w:jc w:val="center"/>
              <w:rPr>
                <w:rFonts w:ascii="宋体" w:hAnsi="宋体" w:cs="宋体"/>
                <w:sz w:val="24"/>
              </w:rPr>
            </w:pPr>
            <w:r>
              <w:rPr>
                <w:rFonts w:hint="eastAsia" w:ascii="宋体" w:hAnsi="宋体" w:cs="宋体"/>
                <w:sz w:val="24"/>
              </w:rPr>
              <w:t>　</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5824" w:type="dxa"/>
            <w:gridSpan w:val="7"/>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LED线形灯具的发光效能(lm/W)</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额定相关色温</w:t>
            </w:r>
          </w:p>
        </w:tc>
        <w:tc>
          <w:tcPr>
            <w:tcW w:w="1894" w:type="dxa"/>
            <w:gridSpan w:val="3"/>
            <w:tcBorders>
              <w:top w:val="single" w:color="auto" w:sz="8" w:space="0"/>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2700/3000K</w:t>
            </w:r>
          </w:p>
        </w:tc>
        <w:tc>
          <w:tcPr>
            <w:tcW w:w="1894"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4000K</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灯具效能</w:t>
            </w:r>
          </w:p>
        </w:tc>
        <w:tc>
          <w:tcPr>
            <w:tcW w:w="1894"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85</w:t>
            </w:r>
          </w:p>
        </w:tc>
        <w:tc>
          <w:tcPr>
            <w:tcW w:w="1894"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90</w:t>
            </w: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72" w:hRule="atLeast"/>
        </w:trPr>
        <w:tc>
          <w:tcPr>
            <w:tcW w:w="2036" w:type="dxa"/>
            <w:gridSpan w:val="2"/>
            <w:tcBorders>
              <w:top w:val="nil"/>
              <w:left w:val="nil"/>
              <w:bottom w:val="nil"/>
              <w:right w:val="nil"/>
            </w:tcBorders>
            <w:vAlign w:val="center"/>
          </w:tcPr>
          <w:p>
            <w:pPr>
              <w:widowControl/>
              <w:contextualSpacing/>
              <w:jc w:val="center"/>
              <w:rPr>
                <w:rFonts w:ascii="宋体" w:hAnsi="宋体" w:cs="宋体"/>
                <w:sz w:val="24"/>
              </w:rPr>
            </w:pPr>
          </w:p>
        </w:tc>
        <w:tc>
          <w:tcPr>
            <w:tcW w:w="891" w:type="dxa"/>
            <w:gridSpan w:val="2"/>
            <w:tcBorders>
              <w:top w:val="nil"/>
              <w:left w:val="nil"/>
              <w:bottom w:val="nil"/>
              <w:right w:val="nil"/>
            </w:tcBorders>
            <w:vAlign w:val="center"/>
          </w:tcPr>
          <w:p>
            <w:pPr>
              <w:widowControl/>
              <w:contextualSpacing/>
              <w:jc w:val="center"/>
              <w:rPr>
                <w:rFonts w:ascii="宋体" w:hAnsi="宋体" w:cs="宋体"/>
                <w:sz w:val="24"/>
              </w:rPr>
            </w:pPr>
          </w:p>
        </w:tc>
        <w:tc>
          <w:tcPr>
            <w:tcW w:w="1003" w:type="dxa"/>
            <w:tcBorders>
              <w:top w:val="nil"/>
              <w:left w:val="nil"/>
              <w:bottom w:val="nil"/>
              <w:right w:val="nil"/>
            </w:tcBorders>
            <w:vAlign w:val="center"/>
          </w:tcPr>
          <w:p>
            <w:pPr>
              <w:widowControl/>
              <w:contextualSpacing/>
              <w:jc w:val="center"/>
              <w:rPr>
                <w:rFonts w:ascii="宋体" w:hAnsi="宋体" w:cs="宋体"/>
                <w:sz w:val="24"/>
              </w:rPr>
            </w:pPr>
          </w:p>
        </w:tc>
        <w:tc>
          <w:tcPr>
            <w:tcW w:w="1003" w:type="dxa"/>
            <w:tcBorders>
              <w:top w:val="nil"/>
              <w:left w:val="nil"/>
              <w:bottom w:val="nil"/>
              <w:right w:val="nil"/>
            </w:tcBorders>
            <w:vAlign w:val="center"/>
          </w:tcPr>
          <w:p>
            <w:pPr>
              <w:widowControl/>
              <w:contextualSpacing/>
              <w:jc w:val="center"/>
              <w:rPr>
                <w:rFonts w:ascii="宋体" w:hAnsi="宋体" w:cs="宋体"/>
                <w:sz w:val="24"/>
              </w:rPr>
            </w:pPr>
          </w:p>
        </w:tc>
        <w:tc>
          <w:tcPr>
            <w:tcW w:w="891" w:type="dxa"/>
            <w:tcBorders>
              <w:top w:val="nil"/>
              <w:left w:val="nil"/>
              <w:bottom w:val="nil"/>
              <w:right w:val="nil"/>
            </w:tcBorders>
            <w:vAlign w:val="center"/>
          </w:tcPr>
          <w:p>
            <w:pPr>
              <w:widowControl/>
              <w:contextualSpacing/>
              <w:jc w:val="center"/>
              <w:rPr>
                <w:rFonts w:ascii="宋体" w:hAnsi="宋体" w:cs="宋体"/>
                <w:sz w:val="24"/>
              </w:rPr>
            </w:pP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7504" w:type="dxa"/>
            <w:gridSpan w:val="9"/>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LED筒灯灯具的效能(lm/W)</w:t>
            </w: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额定相关色温</w:t>
            </w:r>
          </w:p>
        </w:tc>
        <w:tc>
          <w:tcPr>
            <w:tcW w:w="1894"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2700K</w:t>
            </w:r>
          </w:p>
        </w:tc>
        <w:tc>
          <w:tcPr>
            <w:tcW w:w="1894"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3000K</w:t>
            </w:r>
          </w:p>
        </w:tc>
        <w:tc>
          <w:tcPr>
            <w:tcW w:w="1680"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4000K</w:t>
            </w: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出光口形式</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格栅</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保护罩</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格栅</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保护罩</w:t>
            </w:r>
          </w:p>
        </w:tc>
        <w:tc>
          <w:tcPr>
            <w:tcW w:w="86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格栅</w:t>
            </w:r>
          </w:p>
        </w:tc>
        <w:tc>
          <w:tcPr>
            <w:tcW w:w="82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保护罩</w:t>
            </w: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灯具效能</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60</w:t>
            </w:r>
          </w:p>
        </w:tc>
        <w:tc>
          <w:tcPr>
            <w:tcW w:w="1003" w:type="dxa"/>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65</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65</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70</w:t>
            </w:r>
          </w:p>
        </w:tc>
        <w:tc>
          <w:tcPr>
            <w:tcW w:w="86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70</w:t>
            </w:r>
          </w:p>
        </w:tc>
        <w:tc>
          <w:tcPr>
            <w:tcW w:w="82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75</w:t>
            </w:r>
          </w:p>
        </w:tc>
      </w:tr>
      <w:tr>
        <w:tblPrEx>
          <w:tblCellMar>
            <w:top w:w="0" w:type="dxa"/>
            <w:left w:w="108" w:type="dxa"/>
            <w:bottom w:w="0" w:type="dxa"/>
            <w:right w:w="108" w:type="dxa"/>
          </w:tblCellMar>
        </w:tblPrEx>
        <w:trPr>
          <w:trHeight w:val="272" w:hRule="atLeast"/>
        </w:trPr>
        <w:tc>
          <w:tcPr>
            <w:tcW w:w="2036" w:type="dxa"/>
            <w:gridSpan w:val="2"/>
            <w:tcBorders>
              <w:top w:val="nil"/>
              <w:left w:val="nil"/>
              <w:bottom w:val="nil"/>
              <w:right w:val="nil"/>
            </w:tcBorders>
            <w:vAlign w:val="center"/>
          </w:tcPr>
          <w:p>
            <w:pPr>
              <w:widowControl/>
              <w:contextualSpacing/>
              <w:jc w:val="left"/>
              <w:rPr>
                <w:rFonts w:ascii="宋体" w:hAnsi="宋体" w:cs="宋体"/>
                <w:sz w:val="24"/>
              </w:rPr>
            </w:pPr>
          </w:p>
        </w:tc>
        <w:tc>
          <w:tcPr>
            <w:tcW w:w="891" w:type="dxa"/>
            <w:gridSpan w:val="2"/>
            <w:tcBorders>
              <w:top w:val="nil"/>
              <w:left w:val="nil"/>
              <w:bottom w:val="nil"/>
              <w:right w:val="nil"/>
            </w:tcBorders>
            <w:vAlign w:val="center"/>
          </w:tcPr>
          <w:p>
            <w:pPr>
              <w:widowControl/>
              <w:contextualSpacing/>
              <w:jc w:val="left"/>
              <w:rPr>
                <w:rFonts w:ascii="宋体" w:hAnsi="宋体" w:cs="宋体"/>
                <w:sz w:val="24"/>
              </w:rPr>
            </w:pPr>
          </w:p>
        </w:tc>
        <w:tc>
          <w:tcPr>
            <w:tcW w:w="1003" w:type="dxa"/>
            <w:tcBorders>
              <w:top w:val="nil"/>
              <w:left w:val="nil"/>
              <w:bottom w:val="nil"/>
              <w:right w:val="nil"/>
            </w:tcBorders>
            <w:vAlign w:val="center"/>
          </w:tcPr>
          <w:p>
            <w:pPr>
              <w:widowControl/>
              <w:contextualSpacing/>
              <w:jc w:val="left"/>
              <w:rPr>
                <w:rFonts w:ascii="宋体" w:hAnsi="宋体" w:cs="宋体"/>
                <w:sz w:val="24"/>
              </w:rPr>
            </w:pPr>
          </w:p>
        </w:tc>
        <w:tc>
          <w:tcPr>
            <w:tcW w:w="1003" w:type="dxa"/>
            <w:tcBorders>
              <w:top w:val="nil"/>
              <w:left w:val="nil"/>
              <w:bottom w:val="nil"/>
              <w:right w:val="nil"/>
            </w:tcBorders>
            <w:vAlign w:val="center"/>
          </w:tcPr>
          <w:p>
            <w:pPr>
              <w:widowControl/>
              <w:contextualSpacing/>
              <w:jc w:val="left"/>
              <w:rPr>
                <w:rFonts w:ascii="宋体" w:hAnsi="宋体" w:cs="宋体"/>
                <w:sz w:val="24"/>
              </w:rPr>
            </w:pPr>
          </w:p>
        </w:tc>
        <w:tc>
          <w:tcPr>
            <w:tcW w:w="891" w:type="dxa"/>
            <w:tcBorders>
              <w:top w:val="nil"/>
              <w:left w:val="nil"/>
              <w:bottom w:val="nil"/>
              <w:right w:val="nil"/>
            </w:tcBorders>
            <w:vAlign w:val="center"/>
          </w:tcPr>
          <w:p>
            <w:pPr>
              <w:widowControl/>
              <w:contextualSpacing/>
              <w:jc w:val="left"/>
              <w:rPr>
                <w:rFonts w:ascii="宋体" w:hAnsi="宋体" w:cs="宋体"/>
                <w:sz w:val="24"/>
              </w:rPr>
            </w:pPr>
          </w:p>
        </w:tc>
        <w:tc>
          <w:tcPr>
            <w:tcW w:w="860" w:type="dxa"/>
            <w:tcBorders>
              <w:top w:val="nil"/>
              <w:left w:val="nil"/>
              <w:bottom w:val="nil"/>
              <w:right w:val="nil"/>
            </w:tcBorders>
            <w:vAlign w:val="center"/>
          </w:tcPr>
          <w:p>
            <w:pPr>
              <w:widowControl/>
              <w:contextualSpacing/>
              <w:jc w:val="left"/>
              <w:rPr>
                <w:rFonts w:ascii="宋体" w:hAnsi="宋体" w:cs="宋体"/>
                <w:sz w:val="24"/>
              </w:rPr>
            </w:pPr>
          </w:p>
        </w:tc>
        <w:tc>
          <w:tcPr>
            <w:tcW w:w="820" w:type="dxa"/>
            <w:tcBorders>
              <w:top w:val="nil"/>
              <w:left w:val="nil"/>
              <w:bottom w:val="nil"/>
              <w:right w:val="nil"/>
            </w:tcBorders>
            <w:vAlign w:val="center"/>
          </w:tcPr>
          <w:p>
            <w:pPr>
              <w:widowControl/>
              <w:contextualSpacing/>
              <w:jc w:val="left"/>
              <w:rPr>
                <w:rFonts w:ascii="宋体" w:hAnsi="宋体" w:cs="宋体"/>
                <w:sz w:val="24"/>
              </w:rPr>
            </w:pPr>
          </w:p>
        </w:tc>
      </w:tr>
      <w:tr>
        <w:tblPrEx>
          <w:tblCellMar>
            <w:top w:w="0" w:type="dxa"/>
            <w:left w:w="108" w:type="dxa"/>
            <w:bottom w:w="0" w:type="dxa"/>
            <w:right w:w="108" w:type="dxa"/>
          </w:tblCellMar>
        </w:tblPrEx>
        <w:trPr>
          <w:trHeight w:val="287" w:hRule="atLeast"/>
        </w:trPr>
        <w:tc>
          <w:tcPr>
            <w:tcW w:w="7504" w:type="dxa"/>
            <w:gridSpan w:val="9"/>
            <w:tcBorders>
              <w:top w:val="nil"/>
              <w:left w:val="nil"/>
              <w:bottom w:val="single" w:color="auto" w:sz="8" w:space="0"/>
              <w:right w:val="nil"/>
            </w:tcBorders>
            <w:vAlign w:val="center"/>
          </w:tcPr>
          <w:p>
            <w:pPr>
              <w:widowControl/>
              <w:ind w:firstLine="2520" w:firstLineChars="1050"/>
              <w:contextualSpacing/>
              <w:rPr>
                <w:rFonts w:ascii="宋体" w:hAnsi="宋体" w:cs="宋体"/>
                <w:sz w:val="24"/>
              </w:rPr>
            </w:pPr>
            <w:r>
              <w:rPr>
                <w:rFonts w:hint="eastAsia" w:ascii="宋体" w:hAnsi="宋体" w:cs="宋体"/>
                <w:sz w:val="24"/>
              </w:rPr>
              <w:t>LED平面灯灯具的效能(lm/W)</w:t>
            </w: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额定相关色温</w:t>
            </w:r>
          </w:p>
        </w:tc>
        <w:tc>
          <w:tcPr>
            <w:tcW w:w="1894"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2700K</w:t>
            </w:r>
          </w:p>
        </w:tc>
        <w:tc>
          <w:tcPr>
            <w:tcW w:w="1894"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3000K</w:t>
            </w:r>
          </w:p>
        </w:tc>
        <w:tc>
          <w:tcPr>
            <w:tcW w:w="1680"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4000K</w:t>
            </w: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出光口形式</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放射式</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直射式</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放射式</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直射式</w:t>
            </w:r>
          </w:p>
        </w:tc>
        <w:tc>
          <w:tcPr>
            <w:tcW w:w="86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放射式</w:t>
            </w:r>
          </w:p>
        </w:tc>
        <w:tc>
          <w:tcPr>
            <w:tcW w:w="82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直射式</w:t>
            </w:r>
          </w:p>
        </w:tc>
      </w:tr>
      <w:tr>
        <w:tblPrEx>
          <w:tblCellMar>
            <w:top w:w="0" w:type="dxa"/>
            <w:left w:w="108" w:type="dxa"/>
            <w:bottom w:w="0" w:type="dxa"/>
            <w:right w:w="108" w:type="dxa"/>
          </w:tblCellMar>
        </w:tblPrEx>
        <w:trPr>
          <w:trHeight w:val="287" w:hRule="atLeast"/>
        </w:trPr>
        <w:tc>
          <w:tcPr>
            <w:tcW w:w="2036" w:type="dxa"/>
            <w:gridSpan w:val="2"/>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灯具效能</w:t>
            </w:r>
          </w:p>
        </w:tc>
        <w:tc>
          <w:tcPr>
            <w:tcW w:w="891" w:type="dxa"/>
            <w:gridSpan w:val="2"/>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60</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65</w:t>
            </w:r>
          </w:p>
        </w:tc>
        <w:tc>
          <w:tcPr>
            <w:tcW w:w="1003"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65</w:t>
            </w:r>
          </w:p>
        </w:tc>
        <w:tc>
          <w:tcPr>
            <w:tcW w:w="891"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70</w:t>
            </w:r>
          </w:p>
        </w:tc>
        <w:tc>
          <w:tcPr>
            <w:tcW w:w="86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70</w:t>
            </w:r>
          </w:p>
        </w:tc>
        <w:tc>
          <w:tcPr>
            <w:tcW w:w="82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75</w:t>
            </w:r>
          </w:p>
        </w:tc>
      </w:tr>
    </w:tbl>
    <w:p>
      <w:pPr>
        <w:tabs>
          <w:tab w:val="left" w:pos="283"/>
        </w:tabs>
        <w:spacing w:line="425" w:lineRule="exact"/>
        <w:ind w:left="340"/>
        <w:contextualSpacing/>
        <w:rPr>
          <w:rFonts w:ascii="宋体" w:hAnsi="宋体" w:cs="宋体"/>
          <w:w w:val="90"/>
          <w:sz w:val="30"/>
          <w:szCs w:val="30"/>
        </w:rPr>
      </w:pP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灯具应符合现行国家标准《灯具 第1部分：一般要求和试验》 GB 7000.1 及其它相关标准的规定。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照明灯具、光源、电器附件等照明产品应通过国家强制性产品认证，其能效水平应高于国家照明产品能效标准的能效限定值或能效等级3级的要求。</w:t>
      </w:r>
      <w:r>
        <w:rPr>
          <w:rFonts w:hint="eastAsia" w:ascii="宋体" w:hAnsi="宋体" w:cs="宋体"/>
          <w:w w:val="90"/>
          <w:sz w:val="30"/>
          <w:szCs w:val="30"/>
          <w:u w:val="single"/>
        </w:rPr>
        <w:t>本工程所选用的照明产品能效应满足国家相关能效标准的节能评价值的要求</w:t>
      </w:r>
      <w:r>
        <w:rPr>
          <w:rFonts w:hint="eastAsia" w:ascii="宋体" w:hAnsi="宋体" w:cs="宋体"/>
          <w:w w:val="90"/>
          <w:sz w:val="30"/>
          <w:szCs w:val="30"/>
        </w:rPr>
        <w:t>。</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照明灯具应采用符合现行国家标准《灯和灯系统的光生物安全性》GB/T 20145规定的无危险类（RG0）或1类危险（RG1）灯具。当采用2类危险（RG2）的灯具时，选用灯具标记的距离数值应满足安装位置和视看距离的要求。</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人员长时间工作或停留的场所应选用无危险类（RG0）或1类危险（RG1）灯具或满足灯具标记的视看距离要求的2类危险（RG2）的灯具。</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各场所选用的光源和灯具的闪变指数（P</w:t>
      </w:r>
      <w:r>
        <w:rPr>
          <w:rFonts w:hint="eastAsia" w:ascii="宋体" w:hAnsi="宋体" w:cs="宋体"/>
          <w:w w:val="90"/>
          <w:sz w:val="36"/>
          <w:szCs w:val="36"/>
          <w:vertAlign w:val="subscript"/>
        </w:rPr>
        <w:t>st</w:t>
      </w:r>
      <w:r>
        <w:rPr>
          <w:rFonts w:hint="eastAsia" w:ascii="宋体" w:hAnsi="宋体" w:cs="宋体"/>
          <w:w w:val="90"/>
          <w:sz w:val="36"/>
          <w:szCs w:val="36"/>
          <w:vertAlign w:val="superscript"/>
        </w:rPr>
        <w:t>LM</w:t>
      </w:r>
      <w:r>
        <w:rPr>
          <w:rFonts w:hint="eastAsia" w:ascii="宋体" w:hAnsi="宋体" w:cs="宋体"/>
          <w:w w:val="90"/>
          <w:sz w:val="30"/>
          <w:szCs w:val="30"/>
        </w:rPr>
        <w:t>）不应大于1；儿童及青少年长时间学习或活动的场所选用光源和灯具的频闪效应可视度（SVM）不应大于1.0。</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同类光源的色容差不应大于5 SDCM。</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长时间工作或停留的房间或场所，照明光源的一般显色指数（Ra）不低于80， 特殊显色指数（R9）不小于0。对辨色要求高的场所，照明光源的一般显色指数（Ra）应不低于90。</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荧光灯功率因数不应小于0.9，气体放电光源功率因数不应小于0.85。电子镇流器的谐波电流、骚扰特性和电磁兼容抗扰度应符合国家规范标准的规定；对频闪效应有限制的场合，应采用高频电子镇流器；高压钠灯、金属卤化物灯应配用节能电感镇流器，在电压偏差较大的场所，宜配用恒功率镇流器，功率较小者可配用电子镇流器。</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当选用LED灯时，应满足下列要求：</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用于人员长期工作或停留场所的一般照明的LED光源和LED灯具，其光输出波形的波动深度应符合国家标准《LED室内照明应用技术要求》GB/T 31831-2015第6.1.4条的规定。</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LED 灯的谐波电流、启动冲击电流、骚扰特性和电磁兼容抗扰度应符合国家规范标准的规定。</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LED灯初始光通量不应低于额定光通量的90%，且不应高于额定光通量的120%。</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LED灯工作 3000h的光通量维持率不应小于96%；6000h的光通量维持率不应小于92%。</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LED灯在额定电压90%～110%内应能正常工作，特殊场所应满足使用要求。</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LED灯额定功率不大于5W时，输入功率与额定值之差不应大于0.5W；额定功率大于5W时，其偏差不应大于额定值的10%。</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LED灯额定功率不大于5W时，功率因数不应低于0.5；大于5W时，非家居用灯具功率因数不应低于0.9，家居用灯具功率因数不应低于0.7。</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长期工作或停留的房间或场所，光源色温不宜高于4000K，特殊显色指数R9应大于0。</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在寿命期内LED灯的色品坐标与初始值的偏差在国家标准《均匀色空间和色差公式》GB/T 7921-2008规定的CIE 1976均匀色度标尺图中，不应超过0.007。</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LED灯具在不同方向上的色品坐标与其加权平均值偏差在国家标准《均匀色空间和色差公式》GB/T 7921-2008规定的CIE 1976均匀色度标尺图中，不应超过0.004。</w:t>
      </w:r>
    </w:p>
    <w:p>
      <w:pPr>
        <w:numPr>
          <w:ilvl w:val="3"/>
          <w:numId w:val="1"/>
        </w:numPr>
        <w:tabs>
          <w:tab w:val="left" w:pos="283"/>
        </w:tabs>
        <w:spacing w:line="425" w:lineRule="exact"/>
        <w:contextualSpacing/>
        <w:rPr>
          <w:rFonts w:ascii="宋体" w:hAnsi="宋体" w:cs="宋体"/>
          <w:w w:val="90"/>
          <w:sz w:val="30"/>
          <w:szCs w:val="30"/>
        </w:rPr>
      </w:pPr>
      <w:r>
        <w:rPr>
          <w:rFonts w:hint="eastAsia" w:ascii="宋体" w:hAnsi="宋体" w:cs="宋体"/>
          <w:w w:val="90"/>
          <w:sz w:val="30"/>
          <w:szCs w:val="30"/>
        </w:rPr>
        <w:t>正常照明失效可能危及生命安全，需继续正常工作的医疗场所，备用照明应维持正常照明的照度；</w:t>
      </w:r>
    </w:p>
    <w:p>
      <w:pPr>
        <w:numPr>
          <w:ilvl w:val="3"/>
          <w:numId w:val="1"/>
        </w:numPr>
        <w:tabs>
          <w:tab w:val="left" w:pos="283"/>
        </w:tabs>
        <w:spacing w:line="425" w:lineRule="exact"/>
        <w:contextualSpacing/>
        <w:rPr>
          <w:rFonts w:ascii="宋体" w:hAnsi="宋体" w:cs="宋体"/>
          <w:w w:val="90"/>
          <w:sz w:val="30"/>
          <w:szCs w:val="30"/>
        </w:rPr>
      </w:pPr>
      <w:r>
        <w:rPr>
          <w:rFonts w:ascii="宋体" w:hAnsi="宋体" w:cs="宋体"/>
          <w:bCs/>
          <w:w w:val="90"/>
          <w:sz w:val="30"/>
          <w:szCs w:val="30"/>
        </w:rPr>
        <w:t>X线诊断室、加速器治疗室、核医学扫描室、γ照相机室和手术室等用房，应设防止误入的红色信号灯，红色信号灯电源应与机组</w:t>
      </w:r>
      <w:r>
        <w:rPr>
          <w:rFonts w:ascii="宋体" w:hAnsi="宋体" w:cs="宋体"/>
          <w:w w:val="90"/>
          <w:sz w:val="30"/>
          <w:szCs w:val="30"/>
        </w:rPr>
        <w:t>连通</w:t>
      </w:r>
      <w:r>
        <w:rPr>
          <w:rFonts w:ascii="宋体" w:hAnsi="宋体" w:cs="宋体"/>
          <w:bCs/>
          <w:w w:val="90"/>
          <w:sz w:val="30"/>
          <w:szCs w:val="30"/>
        </w:rPr>
        <w:t>。</w:t>
      </w:r>
    </w:p>
    <w:p>
      <w:pPr>
        <w:numPr>
          <w:ilvl w:val="3"/>
          <w:numId w:val="1"/>
        </w:numPr>
        <w:tabs>
          <w:tab w:val="left" w:pos="283"/>
        </w:tabs>
        <w:spacing w:line="425" w:lineRule="exact"/>
        <w:contextualSpacing/>
        <w:rPr>
          <w:rFonts w:ascii="宋体" w:hAnsi="宋体" w:cs="宋体"/>
          <w:w w:val="90"/>
          <w:sz w:val="30"/>
          <w:szCs w:val="30"/>
        </w:rPr>
      </w:pPr>
      <w:r>
        <w:rPr>
          <w:rFonts w:hint="eastAsia" w:ascii="宋体" w:hAnsi="宋体" w:cs="宋体"/>
          <w:w w:val="90"/>
          <w:sz w:val="30"/>
          <w:szCs w:val="30"/>
        </w:rPr>
        <w:t>存在爆炸性危险的场所采用的灯具应有防爆保护措施。</w:t>
      </w:r>
    </w:p>
    <w:p>
      <w:pPr>
        <w:numPr>
          <w:ilvl w:val="3"/>
          <w:numId w:val="1"/>
        </w:numPr>
        <w:tabs>
          <w:tab w:val="left" w:pos="283"/>
        </w:tabs>
        <w:spacing w:line="425" w:lineRule="exact"/>
        <w:contextualSpacing/>
        <w:rPr>
          <w:rFonts w:ascii="宋体" w:hAnsi="宋体" w:cs="宋体"/>
          <w:w w:val="90"/>
          <w:sz w:val="30"/>
          <w:szCs w:val="30"/>
        </w:rPr>
      </w:pPr>
      <w:r>
        <w:rPr>
          <w:rFonts w:hint="eastAsia" w:ascii="宋体" w:hAnsi="宋体" w:cs="宋体"/>
          <w:w w:val="90"/>
          <w:sz w:val="30"/>
          <w:szCs w:val="30"/>
        </w:rPr>
        <w:t xml:space="preserve">有洁净度要求的场所应采用洁净灯具，并应满足洁净场所的有关规定； </w:t>
      </w:r>
    </w:p>
    <w:p>
      <w:pPr>
        <w:numPr>
          <w:ilvl w:val="3"/>
          <w:numId w:val="1"/>
        </w:numPr>
        <w:tabs>
          <w:tab w:val="left" w:pos="283"/>
        </w:tabs>
        <w:spacing w:line="425" w:lineRule="exact"/>
        <w:contextualSpacing/>
        <w:rPr>
          <w:rFonts w:ascii="宋体" w:hAnsi="宋体" w:cs="宋体"/>
          <w:w w:val="90"/>
          <w:sz w:val="30"/>
          <w:szCs w:val="30"/>
        </w:rPr>
      </w:pPr>
      <w:r>
        <w:rPr>
          <w:rFonts w:hint="eastAsia" w:ascii="宋体" w:hAnsi="宋体" w:cs="宋体"/>
          <w:w w:val="90"/>
          <w:sz w:val="30"/>
          <w:szCs w:val="30"/>
        </w:rPr>
        <w:t>有腐蚀性气体的场所采用的灯具应满足防腐蚀要求。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二次装修照明设计的照明标准及照明功率密度限值应满足9.1.2以及相关国家标准规范的要求，灯具选型由装修设计及甲方商定，所选照明灯具、光源、电器附件等均应满足9.1的相关要求。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照明控制</w:t>
      </w:r>
    </w:p>
    <w:p>
      <w:pPr>
        <w:numPr>
          <w:ilvl w:val="2"/>
          <w:numId w:val="1"/>
        </w:numPr>
        <w:tabs>
          <w:tab w:val="left" w:pos="283"/>
          <w:tab w:val="clear" w:pos="0"/>
        </w:tabs>
        <w:spacing w:line="425" w:lineRule="exact"/>
        <w:contextualSpacing/>
        <w:rPr>
          <w:rFonts w:ascii="宋体" w:hAnsi="宋体" w:cs="宋体"/>
          <w:w w:val="90"/>
          <w:sz w:val="30"/>
          <w:szCs w:val="30"/>
          <w:u w:val="single"/>
        </w:rPr>
      </w:pPr>
      <w:r>
        <w:rPr>
          <w:rFonts w:hint="eastAsia" w:ascii="宋体" w:hAnsi="宋体" w:cs="宋体"/>
          <w:w w:val="90"/>
          <w:sz w:val="30"/>
          <w:szCs w:val="30"/>
          <w:u w:val="single"/>
        </w:rPr>
        <w:t xml:space="preserve">   走道、功能房间   等处的照明采用就地照明开关进行分区或分组控制。</w:t>
      </w:r>
    </w:p>
    <w:p>
      <w:pPr>
        <w:numPr>
          <w:ilvl w:val="2"/>
          <w:numId w:val="1"/>
        </w:numPr>
        <w:tabs>
          <w:tab w:val="left" w:pos="283"/>
          <w:tab w:val="clear" w:pos="0"/>
        </w:tabs>
        <w:spacing w:line="425" w:lineRule="exact"/>
        <w:contextualSpacing/>
        <w:rPr>
          <w:rFonts w:ascii="宋体" w:hAnsi="宋体" w:cs="宋体"/>
          <w:w w:val="90"/>
          <w:sz w:val="30"/>
          <w:szCs w:val="30"/>
          <w:u w:val="single"/>
        </w:rPr>
      </w:pPr>
      <w:r>
        <w:rPr>
          <w:rFonts w:hint="eastAsia" w:ascii="宋体" w:hAnsi="宋体" w:cs="宋体"/>
          <w:w w:val="90"/>
          <w:sz w:val="30"/>
          <w:szCs w:val="30"/>
          <w:u w:val="single"/>
        </w:rPr>
        <w:t xml:space="preserve">   楼梯间     等有天然采光的场所处的照明由人体感应或声光延时开关直接控制。</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人员密集场所的公共大厅和主要走道照明采用集中或区域集中自动控制时，应具备手动控制功能。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有天然采光的场所，其照明应根据采光状况和建筑使用条件采取分区、分组、按照度或按时段调节的节能控制措施。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安装在人员密集场所的吊装灯具玻璃罩，应采取防止玻璃破碎向下溅落的措施。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对人员可触及的光环境设施，当表面温度高于70℃时，应采取隔离保护措施。各种场所严禁使用防电击类别为0类的灯具。</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爆炸性危险的场所采用的灯具应有防爆保护措施；有洁净度要求的场所的灯具为洁净灯具，并满足洁净场所的有关规定；有腐蚀性气体的场所采用的灯具应满足防腐蚀要求。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消防应急照明和疏散指示标志</w:t>
      </w:r>
    </w:p>
    <w:p>
      <w:pPr>
        <w:tabs>
          <w:tab w:val="left" w:pos="283"/>
        </w:tabs>
        <w:spacing w:line="425" w:lineRule="exact"/>
        <w:ind w:left="283"/>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本工程</w:t>
      </w:r>
      <w:r>
        <w:rPr>
          <w:rFonts w:hint="eastAsia" w:ascii="宋体" w:hAnsi="宋体" w:cs="宋体"/>
          <w:w w:val="90"/>
          <w:sz w:val="30"/>
          <w:szCs w:val="30"/>
          <w:u w:val="single"/>
        </w:rPr>
        <w:t>采用集中电源集中控制型消防应急照明和疏散指示系统，具体说明详"消防应急照明和疏散指示系统说明"，见图纸D1-1-M4。</w:t>
      </w:r>
    </w:p>
    <w:p>
      <w:pPr>
        <w:tabs>
          <w:tab w:val="left" w:pos="283"/>
        </w:tabs>
        <w:spacing w:line="425" w:lineRule="exact"/>
        <w:contextualSpacing/>
        <w:rPr>
          <w:rFonts w:ascii="宋体" w:hAnsi="宋体" w:cs="宋体"/>
          <w:sz w:val="32"/>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接地及安全</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本工程低压配电系统采用</w:t>
      </w:r>
      <w:r>
        <w:rPr>
          <w:rFonts w:hint="eastAsia" w:ascii="宋体" w:hAnsi="宋体" w:cs="宋体"/>
          <w:w w:val="90"/>
          <w:sz w:val="30"/>
          <w:szCs w:val="30"/>
          <w:u w:val="single"/>
        </w:rPr>
        <w:t>TN-S</w:t>
      </w:r>
      <w:r>
        <w:rPr>
          <w:rFonts w:hint="eastAsia" w:ascii="宋体" w:hAnsi="宋体" w:cs="宋体"/>
          <w:w w:val="90"/>
          <w:sz w:val="30"/>
          <w:szCs w:val="30"/>
        </w:rPr>
        <w:t>接地系统，电子信息等级为</w:t>
      </w:r>
      <w:r>
        <w:rPr>
          <w:rFonts w:ascii="宋体" w:hAnsi="宋体" w:cs="宋体"/>
          <w:w w:val="90"/>
          <w:sz w:val="30"/>
          <w:szCs w:val="30"/>
          <w:u w:val="single"/>
        </w:rPr>
        <w:t xml:space="preserve"> </w:t>
      </w:r>
      <w:r>
        <w:rPr>
          <w:rFonts w:hint="eastAsia" w:ascii="宋体" w:hAnsi="宋体" w:cs="宋体"/>
          <w:w w:val="90"/>
          <w:sz w:val="30"/>
          <w:szCs w:val="30"/>
          <w:u w:val="single"/>
          <w:lang w:val="en-US" w:eastAsia="zh-CN"/>
        </w:rPr>
        <w:t>D</w:t>
      </w:r>
      <w:r>
        <w:rPr>
          <w:rFonts w:ascii="宋体" w:hAnsi="宋体" w:cs="宋体"/>
          <w:w w:val="90"/>
          <w:sz w:val="30"/>
          <w:szCs w:val="30"/>
          <w:u w:val="single"/>
        </w:rPr>
        <w:t xml:space="preserve"> </w:t>
      </w:r>
      <w:r>
        <w:rPr>
          <w:rFonts w:hint="eastAsia" w:ascii="宋体" w:hAnsi="宋体" w:cs="宋体"/>
          <w:w w:val="90"/>
          <w:sz w:val="30"/>
          <w:szCs w:val="30"/>
        </w:rPr>
        <w:t>级。</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电力系统工作接地、保护接地、防雷接地、防静电接地及弱电系统接地共用接地装置,其接地电阻不大于1Ω。当接地电阻达不到要求时,应增加人工接地极,并通知设计人处理。</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变电所接地装置的接触电压和跨步电压不应超过允许值。</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电力变压器中性点采用专用接地线与接地干线及接地装置可靠连接。</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TN系统中供电干线在建筑物进线处或方便接地之处其PE线或PEN线应作重复接地，重复接地电阻不大于10Ω。</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采用设置非导电场所保护方式或不接地的等电位联结保护方式的电气设备外露可导电部分、采用电气分隔保护方式的单台电气设备外露可导电部分、采用双重绝缘及加强绝缘保护方式的电气设备（具有有双重绝缘／加强绝缘标识）绝缘外护物里面的外露可导电部分严禁接地；除上述情况外，所有正常不带电交流电气设备的外露可导电部分及金属构件、电缆金属外皮、插座接地孔、I类灯具金属外壳等均采用保护接地导体（PE）与接地干线及接地装置可靠连接。</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接地（PE）支线必须单独与接地（PE）干线相连接，电气设备的外露可导电部分应单独与保护导体相连接，不得串联连接。</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输送可燃性气体、液体的管道，管网气体灭火管道及对于在使用过程中产生静电并对正常工作造成影响的场所应采取防静电接地措施并满足下列要求：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各种输送可燃气体、易燃液体的金属工艺设备、容器和管道，以及安装在易燃、易爆环境的风管设置静电防护措施、进行防静电接地。</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移动时可能产生静电危害的器具应接地。</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防静电接地的接地线应采用绝缘铜芯导线，对移动设备应采用绝缘铜芯软导线，导线截面积应按机械强度选择，最小截面积为6mm</w:t>
      </w:r>
      <w:r>
        <w:rPr>
          <w:rFonts w:hint="eastAsia" w:ascii="宋体" w:hAnsi="宋体" w:cs="宋体"/>
          <w:w w:val="90"/>
          <w:sz w:val="30"/>
          <w:szCs w:val="30"/>
          <w:vertAlign w:val="superscript"/>
        </w:rPr>
        <w:t>2</w:t>
      </w:r>
      <w:r>
        <w:rPr>
          <w:rFonts w:hint="eastAsia" w:ascii="宋体" w:hAnsi="宋体" w:cs="宋体"/>
          <w:w w:val="90"/>
          <w:sz w:val="30"/>
          <w:szCs w:val="30"/>
        </w:rPr>
        <w:t xml:space="preserve"> 。</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固定设备防静电接地的接地线连接应釆用焊接，对于移动设备防静电接地的接地线应与接地体可靠连接，并应防止松动或断线。</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防静电接地宜选择共用接地方式，当选择单独接地方式时，接地电阻不宜大于10Ω，并应与防雷接地装置保持20m以上间距。</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镀锌的钢导管、可挠性导管和金属槽盒不得熔焊跨接接地线，以专用接地线跨接的两卡间连线为铜芯软导线，截面积不小于4mm</w:t>
      </w:r>
      <w:r>
        <w:rPr>
          <w:rFonts w:hint="eastAsia" w:ascii="宋体" w:hAnsi="宋体" w:cs="宋体"/>
          <w:w w:val="90"/>
          <w:sz w:val="30"/>
          <w:szCs w:val="30"/>
          <w:vertAlign w:val="superscript"/>
        </w:rPr>
        <w:t>2</w:t>
      </w:r>
      <w:r>
        <w:rPr>
          <w:rFonts w:hint="eastAsia" w:ascii="宋体" w:hAnsi="宋体" w:cs="宋体"/>
          <w:w w:val="90"/>
          <w:sz w:val="30"/>
          <w:szCs w:val="30"/>
        </w:rPr>
        <w:t xml:space="preserve"> ；当镀锌钢导管采用螺纹连接时，连接处的两端用专用接地卡固定跨接接地线。</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母线槽的金属外壳等外露可导电部分应与保护接地导体可靠连接：母线槽的金属外壳末端应与保护接地导体可靠连接；每段母线槽的金属外壳间应可靠连接；母线槽外壳及支架全长应有不少于2处与保护接地导体可靠连接，水平为30m连接一次，垂直每三层楼连接一次。</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金属梯架、托盘或槽盒本体之间的连接应牢固可靠，与保护接地导体的连接应符合下列规定：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梯架、托盘和槽盒全长不大于30m时，不应少于2处与保护接地导体可靠连接；全长大于30m时，每隔20m~30m应增加一个连接点，起始端和终点端应与保护接地导体可靠连接；</w:t>
      </w:r>
      <w:r>
        <w:rPr>
          <w:rFonts w:hint="eastAsia" w:ascii="宋体" w:hAnsi="宋体" w:cs="宋体"/>
          <w:w w:val="90"/>
          <w:sz w:val="30"/>
          <w:szCs w:val="30"/>
          <w:u w:val="single"/>
        </w:rPr>
        <w:t>本工程采用40x4镀锌扁钢沿桥架敷设路径通长敷设作为保护接地导体（同一路径多组桥架可共用）</w:t>
      </w:r>
      <w:r>
        <w:rPr>
          <w:rFonts w:hint="eastAsia" w:ascii="宋体" w:hAnsi="宋体" w:cs="宋体"/>
          <w:w w:val="90"/>
          <w:sz w:val="30"/>
          <w:szCs w:val="30"/>
        </w:rPr>
        <w:t>。</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非镀锌（具有油漆或其他防腐涂层的）金属梯架、托盘和槽盒本体之间连接板的两端应跨接保护接地连接导体，保护接地连接导体的截面积不低于4mm</w:t>
      </w:r>
      <w:r>
        <w:rPr>
          <w:rFonts w:hint="eastAsia" w:ascii="宋体" w:hAnsi="宋体" w:cs="宋体"/>
          <w:w w:val="90"/>
          <w:sz w:val="30"/>
          <w:szCs w:val="30"/>
          <w:vertAlign w:val="superscript"/>
        </w:rPr>
        <w:t>2</w:t>
      </w:r>
      <w:r>
        <w:rPr>
          <w:rFonts w:hint="eastAsia" w:ascii="宋体" w:hAnsi="宋体" w:cs="宋体"/>
          <w:w w:val="90"/>
          <w:sz w:val="30"/>
          <w:szCs w:val="30"/>
        </w:rPr>
        <w:t>，或采用产品配套提供的专用跨接件。</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钢制镀锌、不锈钢、铝合金等金属梯架、托盘和槽盒本体之间不跨接保护接地连接导体时，连接板每端不应少于2个有防松螺帽或防松垫圈的连接固定螺栓。</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火灾自动报警系统应设专用接地干线（芯线截面不小于25mm</w:t>
      </w:r>
      <w:r>
        <w:rPr>
          <w:rFonts w:hint="eastAsia" w:ascii="宋体" w:hAnsi="宋体" w:cs="宋体"/>
          <w:w w:val="90"/>
          <w:sz w:val="30"/>
          <w:szCs w:val="30"/>
          <w:vertAlign w:val="superscript"/>
        </w:rPr>
        <w:t>2</w:t>
      </w:r>
      <w:r>
        <w:rPr>
          <w:rFonts w:hint="eastAsia" w:ascii="宋体" w:hAnsi="宋体" w:cs="宋体"/>
          <w:w w:val="90"/>
          <w:sz w:val="30"/>
          <w:szCs w:val="30"/>
        </w:rPr>
        <w:t xml:space="preserve"> 的铜芯绝缘导线），穿硬塑料管由消防控制室接地端子板埋设引至接地装置，由消防控制室接地端子板引至消防控制设备的专用接地线采用芯线截面不小于6mm</w:t>
      </w:r>
      <w:r>
        <w:rPr>
          <w:rFonts w:hint="eastAsia" w:ascii="宋体" w:hAnsi="宋体" w:cs="宋体"/>
          <w:w w:val="90"/>
          <w:sz w:val="30"/>
          <w:szCs w:val="30"/>
          <w:vertAlign w:val="superscript"/>
        </w:rPr>
        <w:t>2</w:t>
      </w:r>
      <w:r>
        <w:rPr>
          <w:rFonts w:hint="eastAsia" w:ascii="宋体" w:hAnsi="宋体" w:cs="宋体"/>
          <w:w w:val="90"/>
          <w:sz w:val="30"/>
          <w:szCs w:val="30"/>
        </w:rPr>
        <w:t xml:space="preserve"> 的铜芯绝缘导线。</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智能化系统及机房内电气设备和智能化设备的外露可导电部分、外界可导电部分、建筑物金属结构进行等电位联结并接地；当智能化系统单独设置接地线时应采用截面面积不小于25mm</w:t>
      </w:r>
      <w:r>
        <w:rPr>
          <w:rFonts w:hint="eastAsia" w:ascii="宋体" w:hAnsi="宋体" w:cs="宋体"/>
          <w:w w:val="90"/>
          <w:sz w:val="30"/>
          <w:szCs w:val="30"/>
          <w:vertAlign w:val="superscript"/>
        </w:rPr>
        <w:t xml:space="preserve">2 </w:t>
      </w:r>
      <w:r>
        <w:rPr>
          <w:rFonts w:hint="eastAsia" w:ascii="宋体" w:hAnsi="宋体" w:cs="宋体"/>
          <w:w w:val="90"/>
          <w:sz w:val="30"/>
          <w:szCs w:val="30"/>
        </w:rPr>
        <w:t>的铜材。</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总接地（总等电位联结）端子连接接地极或接地网的接地导体，采用不少于2根且分别连接在接地极或接地网的不同点上。接地引出线与接地装置连接应牢固，并有防腐措施。接地干线穿过墙体、基础、楼板等处时应采用金属导管保护。</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低压配电系统保护接地导体（PE线）的最小截面积要求详见下表：</w:t>
      </w:r>
    </w:p>
    <w:tbl>
      <w:tblPr>
        <w:tblStyle w:val="6"/>
        <w:tblpPr w:leftFromText="180" w:rightFromText="180" w:vertAnchor="text" w:horzAnchor="page" w:tblpX="32496" w:tblpY="289"/>
        <w:tblOverlap w:val="never"/>
        <w:tblW w:w="7370" w:type="dxa"/>
        <w:tblInd w:w="0" w:type="dxa"/>
        <w:tblLayout w:type="fixed"/>
        <w:tblCellMar>
          <w:top w:w="0" w:type="dxa"/>
          <w:left w:w="108" w:type="dxa"/>
          <w:bottom w:w="0" w:type="dxa"/>
          <w:right w:w="108" w:type="dxa"/>
        </w:tblCellMar>
      </w:tblPr>
      <w:tblGrid>
        <w:gridCol w:w="2312"/>
        <w:gridCol w:w="5058"/>
      </w:tblGrid>
      <w:tr>
        <w:tblPrEx>
          <w:tblCellMar>
            <w:top w:w="0" w:type="dxa"/>
            <w:left w:w="108" w:type="dxa"/>
            <w:bottom w:w="0" w:type="dxa"/>
            <w:right w:w="108" w:type="dxa"/>
          </w:tblCellMar>
        </w:tblPrEx>
        <w:trPr>
          <w:trHeight w:val="285" w:hRule="atLeast"/>
        </w:trPr>
        <w:tc>
          <w:tcPr>
            <w:tcW w:w="7370" w:type="dxa"/>
            <w:gridSpan w:val="2"/>
            <w:tcBorders>
              <w:bottom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低压配电系统保护导体（PE线）的最小截面积(mm</w:t>
            </w:r>
            <w:r>
              <w:rPr>
                <w:rFonts w:hint="eastAsia" w:ascii="宋体" w:hAnsi="宋体" w:cs="宋体"/>
                <w:sz w:val="24"/>
                <w:vertAlign w:val="superscript"/>
              </w:rPr>
              <w:t>2</w:t>
            </w:r>
            <w:r>
              <w:rPr>
                <w:rFonts w:hint="eastAsia" w:ascii="宋体" w:hAnsi="宋体" w:cs="宋体"/>
                <w:sz w:val="24"/>
              </w:rPr>
              <w:t>)</w:t>
            </w:r>
          </w:p>
        </w:tc>
      </w:tr>
      <w:tr>
        <w:tblPrEx>
          <w:tblCellMar>
            <w:top w:w="0" w:type="dxa"/>
            <w:left w:w="108" w:type="dxa"/>
            <w:bottom w:w="0" w:type="dxa"/>
            <w:right w:w="108" w:type="dxa"/>
          </w:tblCellMar>
        </w:tblPrEx>
        <w:trPr>
          <w:trHeight w:val="285" w:hRule="atLeast"/>
        </w:trPr>
        <w:tc>
          <w:tcPr>
            <w:tcW w:w="2312" w:type="dxa"/>
            <w:tcBorders>
              <w:top w:val="single" w:color="auto" w:sz="8" w:space="0"/>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相导体截面积</w:t>
            </w:r>
          </w:p>
        </w:tc>
        <w:tc>
          <w:tcPr>
            <w:tcW w:w="5058" w:type="dxa"/>
            <w:tcBorders>
              <w:top w:val="single" w:color="auto" w:sz="8" w:space="0"/>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保护导体与相导体使用相同材料</w:t>
            </w:r>
          </w:p>
        </w:tc>
      </w:tr>
      <w:tr>
        <w:tblPrEx>
          <w:tblCellMar>
            <w:top w:w="0" w:type="dxa"/>
            <w:left w:w="108" w:type="dxa"/>
            <w:bottom w:w="0" w:type="dxa"/>
            <w:right w:w="108" w:type="dxa"/>
          </w:tblCellMar>
        </w:tblPrEx>
        <w:trPr>
          <w:trHeight w:val="330" w:hRule="atLeast"/>
        </w:trPr>
        <w:tc>
          <w:tcPr>
            <w:tcW w:w="2312" w:type="dxa"/>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≤16</w:t>
            </w:r>
          </w:p>
        </w:tc>
        <w:tc>
          <w:tcPr>
            <w:tcW w:w="5058" w:type="dxa"/>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S</w:t>
            </w:r>
          </w:p>
        </w:tc>
      </w:tr>
      <w:tr>
        <w:tblPrEx>
          <w:tblCellMar>
            <w:top w:w="0" w:type="dxa"/>
            <w:left w:w="108" w:type="dxa"/>
            <w:bottom w:w="0" w:type="dxa"/>
            <w:right w:w="108" w:type="dxa"/>
          </w:tblCellMar>
        </w:tblPrEx>
        <w:trPr>
          <w:trHeight w:val="330" w:hRule="atLeast"/>
        </w:trPr>
        <w:tc>
          <w:tcPr>
            <w:tcW w:w="2312" w:type="dxa"/>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＞16，且≤35</w:t>
            </w:r>
          </w:p>
        </w:tc>
        <w:tc>
          <w:tcPr>
            <w:tcW w:w="5058" w:type="dxa"/>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16</w:t>
            </w:r>
          </w:p>
        </w:tc>
      </w:tr>
      <w:tr>
        <w:tblPrEx>
          <w:tblCellMar>
            <w:top w:w="0" w:type="dxa"/>
            <w:left w:w="108" w:type="dxa"/>
            <w:bottom w:w="0" w:type="dxa"/>
            <w:right w:w="108" w:type="dxa"/>
          </w:tblCellMar>
        </w:tblPrEx>
        <w:trPr>
          <w:trHeight w:val="330" w:hRule="atLeast"/>
        </w:trPr>
        <w:tc>
          <w:tcPr>
            <w:tcW w:w="2312" w:type="dxa"/>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＞35</w:t>
            </w:r>
          </w:p>
        </w:tc>
        <w:tc>
          <w:tcPr>
            <w:tcW w:w="5058"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S/2</w:t>
            </w:r>
          </w:p>
        </w:tc>
      </w:tr>
    </w:tbl>
    <w:p>
      <w:pPr>
        <w:tabs>
          <w:tab w:val="left" w:pos="283"/>
        </w:tabs>
        <w:spacing w:line="425" w:lineRule="exact"/>
        <w:contextualSpacing/>
        <w:rPr>
          <w:rFonts w:ascii="宋体" w:hAnsi="宋体" w:cs="宋体"/>
          <w:w w:val="90"/>
          <w:sz w:val="30"/>
          <w:szCs w:val="30"/>
        </w:rPr>
      </w:pPr>
    </w:p>
    <w:p>
      <w:pPr>
        <w:tabs>
          <w:tab w:val="left" w:pos="283"/>
        </w:tabs>
        <w:spacing w:line="425" w:lineRule="exact"/>
        <w:contextualSpacing/>
        <w:rPr>
          <w:rFonts w:ascii="宋体" w:hAnsi="宋体" w:cs="宋体"/>
          <w:w w:val="90"/>
          <w:sz w:val="30"/>
          <w:szCs w:val="30"/>
        </w:rPr>
      </w:pPr>
    </w:p>
    <w:p>
      <w:pPr>
        <w:tabs>
          <w:tab w:val="left" w:pos="283"/>
        </w:tabs>
        <w:spacing w:line="425" w:lineRule="exact"/>
        <w:contextualSpacing/>
        <w:rPr>
          <w:rFonts w:ascii="宋体" w:hAnsi="宋体" w:cs="宋体"/>
          <w:w w:val="90"/>
          <w:sz w:val="30"/>
          <w:szCs w:val="30"/>
        </w:rPr>
      </w:pPr>
    </w:p>
    <w:p>
      <w:pPr>
        <w:tabs>
          <w:tab w:val="left" w:pos="283"/>
        </w:tabs>
        <w:spacing w:line="425" w:lineRule="exact"/>
        <w:contextualSpacing/>
        <w:rPr>
          <w:rFonts w:ascii="宋体" w:hAnsi="宋体" w:cs="宋体"/>
          <w:w w:val="90"/>
          <w:sz w:val="30"/>
          <w:szCs w:val="30"/>
        </w:rPr>
      </w:pPr>
    </w:p>
    <w:p>
      <w:pPr>
        <w:tabs>
          <w:tab w:val="left" w:pos="283"/>
        </w:tabs>
        <w:spacing w:line="425" w:lineRule="exact"/>
        <w:contextualSpacing/>
        <w:rPr>
          <w:rFonts w:ascii="宋体" w:hAnsi="宋体" w:cs="宋体"/>
          <w:w w:val="90"/>
          <w:sz w:val="30"/>
          <w:szCs w:val="30"/>
        </w:rPr>
      </w:pP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等电位联结</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筑物内电气装置应采用总等电位联结系统（参见15D502第13～17页）。建筑物内的接地导体、总接地端子和下列可导电部分应实施保护等电位联结，并在进入建筑物处接至总等电位联结端子板（参见15D502第28～30页）：</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——保护接地导体（PE）和保护接地中性导体（PEN）干线；</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——接地装置中的接地干线；</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——建筑物内的水管、燃气管、采暖和空调管道等金属干管；</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——可接用的建筑物金属结构部分；</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——进出建筑物外墙处的金属管线；</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——在正常使用时可触及的电气装置外可导电部分；</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——便于利用的钢结构中的钢构件及钢筋混凝土结构中的钢筋；</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——电梯轨道。</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下列金属部分不得用作保护接地导体或保护等电位联结导体：</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——金属水管；</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——含有可能引燃的气体、液体、粉末等物资的金属管道；</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——正常使用中承受机械应力的金属结构；</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——柔性或可弯曲金属导管；</w:t>
      </w:r>
    </w:p>
    <w:p>
      <w:pPr>
        <w:spacing w:line="425" w:lineRule="exact"/>
        <w:ind w:left="1575" w:leftChars="750" w:firstLine="135" w:firstLineChars="50"/>
        <w:contextualSpacing/>
        <w:rPr>
          <w:rFonts w:ascii="宋体" w:hAnsi="宋体" w:cs="宋体"/>
          <w:w w:val="90"/>
          <w:sz w:val="30"/>
          <w:szCs w:val="30"/>
        </w:rPr>
      </w:pPr>
      <w:r>
        <w:rPr>
          <w:rFonts w:hint="eastAsia" w:ascii="宋体" w:hAnsi="宋体" w:cs="宋体"/>
          <w:w w:val="90"/>
          <w:sz w:val="30"/>
          <w:szCs w:val="30"/>
        </w:rPr>
        <w:t>——支撑线、电缆槽盒、电缆托盘、电缆梯架。</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在下列情况下应实施辅助等电位联结：</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在局部区域，当自动切断供电的时间不能满足防电击要求；</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在特定场所，需要有更低接触电压要求的防电击措施；</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具有防雷和电子信息系统抗干扰要求。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辅助等电位联结导体应与区域内的下列可导电部分相连接：</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固定电气装置的所有能同时触及的外露可导电部分；</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保护接地导体（包括设备的和插座内的）；</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电气装置外的可导电部分，可包括钢筋混凝土结构的主钢筋。</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 xml:space="preserve">辅助等电位的联结导体应与区域内的人员能同时触及的固定电气设备的外露可导电部分和外界可导电部分、保护接地导体、安装非安全特低电压供电的电动阀门的金属管道等可导电部分相连接。 </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自动旋转门、电动门和电动卷帘门的所有金属构件及附属电气设备的外露可导电部分均应做等电位联结。</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电干/湿蒸桑拿设备、人员可触及的室外金属电动门/伸缩门等用电设备的可导电部分设置辅助等电位联结。</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装有淋浴或浴盆的卫生间的辅助等电位联结应包括卫生间内金属给水排水管、金属浴盆、金属洗脸盆、金属采暖管、金属散热器、卫生间电源插座的PE线以及建筑物钢筋网，做法参见15D502第18、19页的要求；电梯井和配电间的辅助等电位做法参见15D502第24页的要求；室外电动（伸缩）门或空调机的辅助等电位做法参见15D502第25页的要求；智能化机房和竖井的辅助等电位做法参见15D502第26、27页的要求；其余辅助等电位联结做法参见15D502第31～42页的要求。</w:t>
      </w:r>
    </w:p>
    <w:p>
      <w:pPr>
        <w:numPr>
          <w:ilvl w:val="2"/>
          <w:numId w:val="1"/>
        </w:numPr>
        <w:tabs>
          <w:tab w:val="left" w:pos="283"/>
          <w:tab w:val="clear" w:pos="0"/>
        </w:tabs>
        <w:spacing w:line="425" w:lineRule="exact"/>
        <w:contextualSpacing/>
        <w:rPr>
          <w:rFonts w:ascii="宋体" w:hAnsi="宋体" w:cs="宋体"/>
          <w:w w:val="90"/>
          <w:sz w:val="30"/>
          <w:szCs w:val="30"/>
        </w:rPr>
      </w:pPr>
      <w:r>
        <w:rPr>
          <w:rFonts w:ascii="宋体" w:hAnsi="宋体" w:cs="宋体"/>
          <w:w w:val="90"/>
          <w:sz w:val="30"/>
          <w:szCs w:val="30"/>
        </w:rPr>
        <w:t>在2类医疗场所内，电源插座的保护导体端子、固定设备的保护导体端子或任何外界可导电部分与等电位联结母线之间的导体的电阻（包括接头的电阻在内）不应超过0．2Ω。</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医疗场所内的医疗电子设备应根据设备易受干扰的频率，选择S型、M型或SM混合型等电位联结形式。</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辅助等电位联结应符合下列规定：</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连接两个外露可导电部分的保护联结导体，其电导不应小于接到外露可导电部分的较小的保护接地导体的电导；</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连接外露可导电部分和装置外可导电部分的保护联结导体，其电导不应小于相应保护接地导体一半截面积所具有的电导；</w:t>
      </w:r>
    </w:p>
    <w:p>
      <w:pPr>
        <w:numPr>
          <w:ilvl w:val="3"/>
          <w:numId w:val="1"/>
        </w:numPr>
        <w:tabs>
          <w:tab w:val="left" w:pos="283"/>
          <w:tab w:val="clear" w:pos="420"/>
        </w:tabs>
        <w:spacing w:line="425" w:lineRule="exact"/>
        <w:contextualSpacing/>
        <w:rPr>
          <w:rFonts w:ascii="宋体" w:hAnsi="宋体" w:cs="宋体"/>
          <w:w w:val="90"/>
          <w:sz w:val="30"/>
          <w:szCs w:val="30"/>
        </w:rPr>
      </w:pPr>
      <w:r>
        <w:rPr>
          <w:rFonts w:hint="eastAsia" w:ascii="宋体" w:hAnsi="宋体" w:cs="宋体"/>
          <w:w w:val="90"/>
          <w:sz w:val="30"/>
          <w:szCs w:val="30"/>
        </w:rPr>
        <w:t>作辅助连接用单独敷设的保护联结导体最小截面积应满足《民用建筑电气设计标准》GB 51348-2019第7.4.5条的规定。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接到总接地端子的保护联结导体的截面积不应小于电气装置内的最大保护接地导体（PE）截面积的一半，保护联结导体截面积的最大值和最小值详见下表：</w:t>
      </w:r>
    </w:p>
    <w:p>
      <w:pPr>
        <w:tabs>
          <w:tab w:val="left" w:pos="283"/>
        </w:tabs>
        <w:spacing w:line="425" w:lineRule="exact"/>
        <w:ind w:left="454"/>
        <w:contextualSpacing/>
        <w:rPr>
          <w:rFonts w:ascii="宋体" w:hAnsi="宋体" w:cs="宋体"/>
          <w:w w:val="90"/>
          <w:sz w:val="30"/>
          <w:szCs w:val="30"/>
        </w:rPr>
      </w:pPr>
    </w:p>
    <w:tbl>
      <w:tblPr>
        <w:tblStyle w:val="6"/>
        <w:tblW w:w="7370" w:type="dxa"/>
        <w:jc w:val="center"/>
        <w:tblLayout w:type="fixed"/>
        <w:tblCellMar>
          <w:top w:w="0" w:type="dxa"/>
          <w:left w:w="108" w:type="dxa"/>
          <w:bottom w:w="0" w:type="dxa"/>
          <w:right w:w="108" w:type="dxa"/>
        </w:tblCellMar>
      </w:tblPr>
      <w:tblGrid>
        <w:gridCol w:w="1011"/>
        <w:gridCol w:w="2884"/>
        <w:gridCol w:w="1740"/>
        <w:gridCol w:w="1735"/>
      </w:tblGrid>
      <w:tr>
        <w:tblPrEx>
          <w:tblCellMar>
            <w:top w:w="0" w:type="dxa"/>
            <w:left w:w="108" w:type="dxa"/>
            <w:bottom w:w="0" w:type="dxa"/>
            <w:right w:w="108" w:type="dxa"/>
          </w:tblCellMar>
        </w:tblPrEx>
        <w:trPr>
          <w:trHeight w:val="285" w:hRule="atLeast"/>
          <w:jc w:val="center"/>
        </w:trPr>
        <w:tc>
          <w:tcPr>
            <w:tcW w:w="7370" w:type="dxa"/>
            <w:gridSpan w:val="4"/>
            <w:tcBorders>
              <w:top w:val="nil"/>
              <w:left w:val="nil"/>
              <w:bottom w:val="single" w:color="auto" w:sz="8" w:space="0"/>
              <w:right w:val="nil"/>
            </w:tcBorders>
            <w:vAlign w:val="center"/>
          </w:tcPr>
          <w:p>
            <w:pPr>
              <w:widowControl/>
              <w:contextualSpacing/>
              <w:jc w:val="center"/>
              <w:rPr>
                <w:rFonts w:ascii="宋体" w:hAnsi="宋体" w:cs="宋体"/>
                <w:sz w:val="24"/>
              </w:rPr>
            </w:pPr>
            <w:r>
              <w:rPr>
                <w:rFonts w:hint="eastAsia" w:ascii="宋体" w:hAnsi="宋体" w:cs="宋体"/>
                <w:sz w:val="24"/>
              </w:rPr>
              <w:t>等电位联结线截面要求</w:t>
            </w:r>
          </w:p>
        </w:tc>
      </w:tr>
      <w:tr>
        <w:tblPrEx>
          <w:tblCellMar>
            <w:top w:w="0" w:type="dxa"/>
            <w:left w:w="108" w:type="dxa"/>
            <w:bottom w:w="0" w:type="dxa"/>
            <w:right w:w="108" w:type="dxa"/>
          </w:tblCellMar>
        </w:tblPrEx>
        <w:trPr>
          <w:trHeight w:val="285" w:hRule="atLeast"/>
          <w:jc w:val="center"/>
        </w:trPr>
        <w:tc>
          <w:tcPr>
            <w:tcW w:w="1011" w:type="dxa"/>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　</w:t>
            </w:r>
          </w:p>
        </w:tc>
        <w:tc>
          <w:tcPr>
            <w:tcW w:w="2884"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总等电位联结线截面</w:t>
            </w:r>
          </w:p>
        </w:tc>
        <w:tc>
          <w:tcPr>
            <w:tcW w:w="3475"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辅助等电位联结线截面</w:t>
            </w:r>
          </w:p>
        </w:tc>
      </w:tr>
      <w:tr>
        <w:tblPrEx>
          <w:tblCellMar>
            <w:top w:w="0" w:type="dxa"/>
            <w:left w:w="108" w:type="dxa"/>
            <w:bottom w:w="0" w:type="dxa"/>
            <w:right w:w="108" w:type="dxa"/>
          </w:tblCellMar>
        </w:tblPrEx>
        <w:trPr>
          <w:trHeight w:val="330" w:hRule="atLeast"/>
          <w:jc w:val="center"/>
        </w:trPr>
        <w:tc>
          <w:tcPr>
            <w:tcW w:w="1011" w:type="dxa"/>
            <w:vMerge w:val="restart"/>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最小值</w:t>
            </w:r>
          </w:p>
        </w:tc>
        <w:tc>
          <w:tcPr>
            <w:tcW w:w="2884" w:type="dxa"/>
            <w:vMerge w:val="restart"/>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6mm</w:t>
            </w:r>
            <w:r>
              <w:rPr>
                <w:rFonts w:hint="eastAsia" w:ascii="宋体" w:hAnsi="宋体" w:cs="宋体"/>
                <w:sz w:val="24"/>
                <w:vertAlign w:val="superscript"/>
              </w:rPr>
              <w:t>2</w:t>
            </w:r>
            <w:r>
              <w:rPr>
                <w:rFonts w:hint="eastAsia" w:ascii="宋体" w:hAnsi="宋体" w:cs="宋体"/>
                <w:sz w:val="24"/>
              </w:rPr>
              <w:t>(铜)</w:t>
            </w:r>
          </w:p>
        </w:tc>
        <w:tc>
          <w:tcPr>
            <w:tcW w:w="174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有机械保护时</w:t>
            </w:r>
          </w:p>
        </w:tc>
        <w:tc>
          <w:tcPr>
            <w:tcW w:w="1735"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2.5mm</w:t>
            </w:r>
            <w:r>
              <w:rPr>
                <w:rFonts w:hint="eastAsia" w:ascii="宋体" w:hAnsi="宋体" w:cs="宋体"/>
                <w:sz w:val="24"/>
                <w:vertAlign w:val="superscript"/>
              </w:rPr>
              <w:t>2</w:t>
            </w:r>
            <w:r>
              <w:rPr>
                <w:rFonts w:hint="eastAsia" w:ascii="宋体" w:hAnsi="宋体" w:cs="宋体"/>
                <w:sz w:val="24"/>
              </w:rPr>
              <w:t>(铜)</w:t>
            </w:r>
          </w:p>
        </w:tc>
      </w:tr>
      <w:tr>
        <w:tblPrEx>
          <w:tblCellMar>
            <w:top w:w="0" w:type="dxa"/>
            <w:left w:w="108" w:type="dxa"/>
            <w:bottom w:w="0" w:type="dxa"/>
            <w:right w:w="108" w:type="dxa"/>
          </w:tblCellMar>
        </w:tblPrEx>
        <w:trPr>
          <w:trHeight w:val="330" w:hRule="atLeast"/>
          <w:jc w:val="center"/>
        </w:trPr>
        <w:tc>
          <w:tcPr>
            <w:tcW w:w="1011" w:type="dxa"/>
            <w:vMerge w:val="continue"/>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p>
        </w:tc>
        <w:tc>
          <w:tcPr>
            <w:tcW w:w="2884" w:type="dxa"/>
            <w:vMerge w:val="continue"/>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p>
        </w:tc>
        <w:tc>
          <w:tcPr>
            <w:tcW w:w="1740"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无机械保护时</w:t>
            </w:r>
          </w:p>
        </w:tc>
        <w:tc>
          <w:tcPr>
            <w:tcW w:w="1735"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4mm</w:t>
            </w:r>
            <w:r>
              <w:rPr>
                <w:rFonts w:hint="eastAsia" w:ascii="宋体" w:hAnsi="宋体" w:cs="宋体"/>
                <w:sz w:val="24"/>
                <w:vertAlign w:val="superscript"/>
              </w:rPr>
              <w:t>2</w:t>
            </w:r>
            <w:r>
              <w:rPr>
                <w:rFonts w:hint="eastAsia" w:ascii="宋体" w:hAnsi="宋体" w:cs="宋体"/>
                <w:sz w:val="24"/>
              </w:rPr>
              <w:t>(铜)</w:t>
            </w:r>
          </w:p>
        </w:tc>
      </w:tr>
      <w:tr>
        <w:tblPrEx>
          <w:tblCellMar>
            <w:top w:w="0" w:type="dxa"/>
            <w:left w:w="108" w:type="dxa"/>
            <w:bottom w:w="0" w:type="dxa"/>
            <w:right w:w="108" w:type="dxa"/>
          </w:tblCellMar>
        </w:tblPrEx>
        <w:trPr>
          <w:trHeight w:val="330" w:hRule="atLeast"/>
          <w:jc w:val="center"/>
        </w:trPr>
        <w:tc>
          <w:tcPr>
            <w:tcW w:w="1011" w:type="dxa"/>
            <w:vMerge w:val="continue"/>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p>
        </w:tc>
        <w:tc>
          <w:tcPr>
            <w:tcW w:w="2884" w:type="dxa"/>
            <w:tcBorders>
              <w:top w:val="nil"/>
              <w:left w:val="nil"/>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50mm</w:t>
            </w:r>
            <w:r>
              <w:rPr>
                <w:rFonts w:hint="eastAsia" w:ascii="宋体" w:hAnsi="宋体" w:cs="宋体"/>
                <w:sz w:val="24"/>
                <w:vertAlign w:val="superscript"/>
              </w:rPr>
              <w:t>2</w:t>
            </w:r>
            <w:r>
              <w:rPr>
                <w:rFonts w:hint="eastAsia" w:ascii="宋体" w:hAnsi="宋体" w:cs="宋体"/>
                <w:sz w:val="24"/>
              </w:rPr>
              <w:t>(钢)</w:t>
            </w:r>
          </w:p>
        </w:tc>
        <w:tc>
          <w:tcPr>
            <w:tcW w:w="3475" w:type="dxa"/>
            <w:gridSpan w:val="2"/>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16mm</w:t>
            </w:r>
            <w:r>
              <w:rPr>
                <w:rFonts w:hint="eastAsia" w:ascii="宋体" w:hAnsi="宋体" w:cs="宋体"/>
                <w:sz w:val="24"/>
                <w:vertAlign w:val="superscript"/>
              </w:rPr>
              <w:t>2</w:t>
            </w:r>
            <w:r>
              <w:rPr>
                <w:rFonts w:hint="eastAsia" w:ascii="宋体" w:hAnsi="宋体" w:cs="宋体"/>
                <w:sz w:val="24"/>
              </w:rPr>
              <w:t>(钢)</w:t>
            </w:r>
          </w:p>
        </w:tc>
      </w:tr>
      <w:tr>
        <w:tblPrEx>
          <w:tblCellMar>
            <w:top w:w="0" w:type="dxa"/>
            <w:left w:w="108" w:type="dxa"/>
            <w:bottom w:w="0" w:type="dxa"/>
            <w:right w:w="108" w:type="dxa"/>
          </w:tblCellMar>
        </w:tblPrEx>
        <w:trPr>
          <w:trHeight w:val="285" w:hRule="atLeast"/>
          <w:jc w:val="center"/>
        </w:trPr>
        <w:tc>
          <w:tcPr>
            <w:tcW w:w="1011" w:type="dxa"/>
            <w:tcBorders>
              <w:top w:val="nil"/>
              <w:left w:val="single" w:color="auto" w:sz="8" w:space="0"/>
              <w:bottom w:val="single" w:color="auto"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一般值</w:t>
            </w:r>
          </w:p>
        </w:tc>
        <w:tc>
          <w:tcPr>
            <w:tcW w:w="6359"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不小于最大PE线截面的1/2</w:t>
            </w:r>
          </w:p>
        </w:tc>
      </w:tr>
      <w:tr>
        <w:tblPrEx>
          <w:tblCellMar>
            <w:top w:w="0" w:type="dxa"/>
            <w:left w:w="108" w:type="dxa"/>
            <w:bottom w:w="0" w:type="dxa"/>
            <w:right w:w="108" w:type="dxa"/>
          </w:tblCellMar>
        </w:tblPrEx>
        <w:trPr>
          <w:trHeight w:val="330" w:hRule="atLeast"/>
          <w:jc w:val="center"/>
        </w:trPr>
        <w:tc>
          <w:tcPr>
            <w:tcW w:w="1011" w:type="dxa"/>
            <w:vMerge w:val="restart"/>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r>
              <w:rPr>
                <w:rFonts w:hint="eastAsia" w:ascii="宋体" w:hAnsi="宋体" w:cs="宋体"/>
                <w:sz w:val="24"/>
              </w:rPr>
              <w:t>最大值</w:t>
            </w:r>
          </w:p>
        </w:tc>
        <w:tc>
          <w:tcPr>
            <w:tcW w:w="6359"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25mm</w:t>
            </w:r>
            <w:r>
              <w:rPr>
                <w:rFonts w:hint="eastAsia" w:ascii="宋体" w:hAnsi="宋体" w:cs="宋体"/>
                <w:sz w:val="24"/>
                <w:vertAlign w:val="superscript"/>
              </w:rPr>
              <w:t>2</w:t>
            </w:r>
            <w:r>
              <w:rPr>
                <w:rFonts w:hint="eastAsia" w:ascii="宋体" w:hAnsi="宋体" w:cs="宋体"/>
                <w:sz w:val="24"/>
              </w:rPr>
              <w:t>(铜)</w:t>
            </w:r>
          </w:p>
        </w:tc>
      </w:tr>
      <w:tr>
        <w:tblPrEx>
          <w:tblCellMar>
            <w:top w:w="0" w:type="dxa"/>
            <w:left w:w="108" w:type="dxa"/>
            <w:bottom w:w="0" w:type="dxa"/>
            <w:right w:w="108" w:type="dxa"/>
          </w:tblCellMar>
        </w:tblPrEx>
        <w:trPr>
          <w:trHeight w:val="330" w:hRule="atLeast"/>
          <w:jc w:val="center"/>
        </w:trPr>
        <w:tc>
          <w:tcPr>
            <w:tcW w:w="1011" w:type="dxa"/>
            <w:vMerge w:val="continue"/>
            <w:tcBorders>
              <w:top w:val="nil"/>
              <w:left w:val="single" w:color="auto" w:sz="8" w:space="0"/>
              <w:bottom w:val="single" w:color="000000" w:sz="8" w:space="0"/>
              <w:right w:val="single" w:color="auto" w:sz="8" w:space="0"/>
            </w:tcBorders>
            <w:vAlign w:val="center"/>
          </w:tcPr>
          <w:p>
            <w:pPr>
              <w:widowControl/>
              <w:contextualSpacing/>
              <w:jc w:val="center"/>
              <w:rPr>
                <w:rFonts w:ascii="宋体" w:hAnsi="宋体" w:cs="宋体"/>
                <w:sz w:val="24"/>
              </w:rPr>
            </w:pPr>
          </w:p>
        </w:tc>
        <w:tc>
          <w:tcPr>
            <w:tcW w:w="6359" w:type="dxa"/>
            <w:gridSpan w:val="3"/>
            <w:tcBorders>
              <w:top w:val="single" w:color="auto" w:sz="8" w:space="0"/>
              <w:left w:val="nil"/>
              <w:bottom w:val="single" w:color="auto" w:sz="8" w:space="0"/>
              <w:right w:val="single" w:color="000000" w:sz="8" w:space="0"/>
            </w:tcBorders>
            <w:vAlign w:val="center"/>
          </w:tcPr>
          <w:p>
            <w:pPr>
              <w:widowControl/>
              <w:contextualSpacing/>
              <w:jc w:val="center"/>
              <w:rPr>
                <w:rFonts w:ascii="宋体" w:hAnsi="宋体" w:cs="宋体"/>
                <w:sz w:val="24"/>
              </w:rPr>
            </w:pPr>
            <w:r>
              <w:rPr>
                <w:rFonts w:hint="eastAsia" w:ascii="宋体" w:hAnsi="宋体" w:cs="宋体"/>
                <w:sz w:val="24"/>
              </w:rPr>
              <w:t>按载流量与25mm</w:t>
            </w:r>
            <w:r>
              <w:rPr>
                <w:rFonts w:hint="eastAsia" w:ascii="宋体" w:hAnsi="宋体" w:cs="宋体"/>
                <w:sz w:val="24"/>
                <w:vertAlign w:val="superscript"/>
              </w:rPr>
              <w:t>2</w:t>
            </w:r>
            <w:r>
              <w:rPr>
                <w:rFonts w:hint="eastAsia" w:ascii="宋体" w:hAnsi="宋体" w:cs="宋体"/>
                <w:sz w:val="24"/>
              </w:rPr>
              <w:t>铜导体的载流量相同确定(钢)</w:t>
            </w:r>
          </w:p>
        </w:tc>
      </w:tr>
    </w:tbl>
    <w:p>
      <w:pPr>
        <w:tabs>
          <w:tab w:val="left" w:pos="283"/>
        </w:tabs>
        <w:spacing w:line="425" w:lineRule="exact"/>
        <w:contextualSpacing/>
        <w:rPr>
          <w:rFonts w:ascii="宋体" w:hAnsi="宋体" w:cs="宋体"/>
          <w:sz w:val="30"/>
          <w:szCs w:val="30"/>
        </w:rPr>
      </w:pPr>
    </w:p>
    <w:p>
      <w:pPr>
        <w:numPr>
          <w:ilvl w:val="0"/>
          <w:numId w:val="1"/>
        </w:numPr>
        <w:tabs>
          <w:tab w:val="left" w:pos="283"/>
          <w:tab w:val="clear" w:pos="0"/>
        </w:tabs>
        <w:spacing w:line="425" w:lineRule="exact"/>
        <w:contextualSpacing/>
        <w:rPr>
          <w:rFonts w:ascii="宋体" w:hAnsi="宋体" w:cs="宋体"/>
          <w:sz w:val="32"/>
          <w:szCs w:val="32"/>
        </w:rPr>
      </w:pPr>
      <w:r>
        <w:rPr>
          <w:rFonts w:hint="eastAsia" w:ascii="宋体" w:hAnsi="宋体" w:cs="宋体"/>
          <w:sz w:val="32"/>
          <w:szCs w:val="32"/>
        </w:rPr>
        <w:t>电气节能及环保措施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供配电系统节能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电气照明节能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 xml:space="preserve">主要房间和场所设计照度采用 </w:t>
      </w:r>
      <w:r>
        <w:rPr>
          <w:rFonts w:hint="eastAsia" w:ascii="宋体" w:hAnsi="宋体" w:cs="宋体"/>
          <w:w w:val="90"/>
          <w:sz w:val="30"/>
          <w:szCs w:val="30"/>
          <w:u w:val="single"/>
        </w:rPr>
        <w:t>生产厂家的专用计算软件、通用计算软件、利用系数法</w:t>
      </w:r>
      <w:r>
        <w:rPr>
          <w:rFonts w:hint="eastAsia" w:ascii="宋体" w:hAnsi="宋体" w:cs="宋体"/>
          <w:w w:val="90"/>
          <w:sz w:val="30"/>
          <w:szCs w:val="30"/>
        </w:rPr>
        <w:t>计算，具体见下表：</w:t>
      </w:r>
    </w:p>
    <w:p>
      <w:pPr>
        <w:tabs>
          <w:tab w:val="left" w:pos="283"/>
        </w:tabs>
        <w:spacing w:line="425" w:lineRule="exact"/>
        <w:ind w:left="340" w:firstLine="810" w:firstLineChars="300"/>
        <w:contextualSpacing/>
        <w:rPr>
          <w:rFonts w:ascii="宋体" w:hAnsi="宋体" w:cs="宋体"/>
          <w:w w:val="90"/>
          <w:sz w:val="30"/>
          <w:szCs w:val="30"/>
        </w:rPr>
      </w:pPr>
      <w:r>
        <w:rPr>
          <w:rFonts w:hint="eastAsia" w:ascii="宋体" w:hAnsi="宋体" w:cs="宋体"/>
          <w:w w:val="90"/>
          <w:sz w:val="30"/>
          <w:szCs w:val="30"/>
          <w:u w:val="single"/>
        </w:rPr>
        <w:t>主要房间和场所照明照度及功率密度计算表</w:t>
      </w:r>
      <w:r>
        <w:rPr>
          <w:rFonts w:hint="eastAsia" w:ascii="宋体" w:hAnsi="宋体" w:cs="宋体"/>
          <w:w w:val="90"/>
          <w:sz w:val="30"/>
          <w:szCs w:val="30"/>
        </w:rPr>
        <w:t xml:space="preserve">（注：* 指混合照明照度）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838"/>
        <w:gridCol w:w="545"/>
        <w:gridCol w:w="580"/>
        <w:gridCol w:w="1072"/>
        <w:gridCol w:w="842"/>
        <w:gridCol w:w="865"/>
        <w:gridCol w:w="899"/>
        <w:gridCol w:w="1004"/>
        <w:gridCol w:w="838"/>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701" w:type="dxa"/>
            <w:vMerge w:val="restart"/>
            <w:shd w:val="clear" w:color="auto" w:fill="auto"/>
          </w:tcPr>
          <w:p>
            <w:pPr>
              <w:widowControl/>
              <w:contextualSpacing/>
              <w:jc w:val="center"/>
              <w:rPr>
                <w:rFonts w:ascii="宋体" w:hAnsi="宋体" w:cs="宋体"/>
                <w:sz w:val="24"/>
              </w:rPr>
            </w:pPr>
            <w:r>
              <w:rPr>
                <w:rFonts w:hint="eastAsia" w:ascii="宋体" w:hAnsi="宋体" w:cs="宋体"/>
                <w:sz w:val="24"/>
              </w:rPr>
              <w:t>房间或场所（轴线）</w:t>
            </w:r>
          </w:p>
        </w:tc>
        <w:tc>
          <w:tcPr>
            <w:tcW w:w="838" w:type="dxa"/>
            <w:vMerge w:val="restart"/>
            <w:shd w:val="clear" w:color="auto" w:fill="auto"/>
          </w:tcPr>
          <w:p>
            <w:pPr>
              <w:widowControl/>
              <w:contextualSpacing/>
              <w:jc w:val="center"/>
              <w:rPr>
                <w:rFonts w:ascii="宋体" w:hAnsi="宋体" w:cs="宋体"/>
                <w:sz w:val="24"/>
              </w:rPr>
            </w:pPr>
          </w:p>
          <w:p>
            <w:pPr>
              <w:widowControl/>
              <w:contextualSpacing/>
              <w:jc w:val="center"/>
              <w:rPr>
                <w:rFonts w:ascii="宋体" w:hAnsi="宋体" w:cs="宋体"/>
                <w:sz w:val="24"/>
              </w:rPr>
            </w:pPr>
            <w:r>
              <w:rPr>
                <w:rFonts w:hint="eastAsia" w:ascii="宋体" w:hAnsi="宋体" w:cs="宋体"/>
                <w:sz w:val="24"/>
              </w:rPr>
              <w:t>面积</w:t>
            </w:r>
          </w:p>
          <w:p>
            <w:pPr>
              <w:widowControl/>
              <w:contextualSpacing/>
              <w:jc w:val="center"/>
              <w:rPr>
                <w:rFonts w:ascii="宋体" w:hAnsi="宋体" w:cs="宋体"/>
                <w:sz w:val="24"/>
              </w:rPr>
            </w:pPr>
            <w:r>
              <w:rPr>
                <w:rFonts w:hint="eastAsia" w:ascii="宋体" w:hAnsi="宋体" w:cs="宋体"/>
                <w:sz w:val="24"/>
              </w:rPr>
              <w:t>（m</w:t>
            </w:r>
            <w:r>
              <w:rPr>
                <w:rFonts w:hint="eastAsia" w:ascii="宋体" w:hAnsi="宋体" w:cs="宋体"/>
                <w:sz w:val="24"/>
                <w:vertAlign w:val="superscript"/>
              </w:rPr>
              <w:t>2</w:t>
            </w:r>
            <w:r>
              <w:rPr>
                <w:rFonts w:hint="eastAsia" w:ascii="宋体" w:hAnsi="宋体" w:cs="宋体"/>
                <w:sz w:val="24"/>
              </w:rPr>
              <w:t>）</w:t>
            </w:r>
          </w:p>
        </w:tc>
        <w:tc>
          <w:tcPr>
            <w:tcW w:w="545" w:type="dxa"/>
            <w:vMerge w:val="restart"/>
            <w:shd w:val="clear" w:color="auto" w:fill="auto"/>
          </w:tcPr>
          <w:p>
            <w:pPr>
              <w:widowControl/>
              <w:contextualSpacing/>
              <w:jc w:val="center"/>
              <w:rPr>
                <w:rFonts w:ascii="宋体" w:hAnsi="宋体" w:cs="宋体"/>
                <w:sz w:val="24"/>
              </w:rPr>
            </w:pPr>
            <w:r>
              <w:rPr>
                <w:rFonts w:hint="eastAsia" w:ascii="宋体" w:hAnsi="宋体" w:cs="宋体"/>
                <w:sz w:val="24"/>
              </w:rPr>
              <w:t>维护系数</w:t>
            </w:r>
          </w:p>
        </w:tc>
        <w:tc>
          <w:tcPr>
            <w:tcW w:w="580" w:type="dxa"/>
            <w:vMerge w:val="restart"/>
            <w:shd w:val="clear" w:color="auto" w:fill="auto"/>
          </w:tcPr>
          <w:p>
            <w:pPr>
              <w:widowControl/>
              <w:contextualSpacing/>
              <w:jc w:val="center"/>
              <w:rPr>
                <w:rFonts w:ascii="宋体" w:hAnsi="宋体" w:cs="宋体"/>
                <w:sz w:val="24"/>
              </w:rPr>
            </w:pPr>
            <w:r>
              <w:rPr>
                <w:rFonts w:hint="eastAsia" w:ascii="宋体" w:hAnsi="宋体" w:cs="宋体"/>
                <w:sz w:val="24"/>
              </w:rPr>
              <w:t>利用系数</w:t>
            </w:r>
          </w:p>
        </w:tc>
        <w:tc>
          <w:tcPr>
            <w:tcW w:w="1914" w:type="dxa"/>
            <w:gridSpan w:val="2"/>
            <w:shd w:val="clear" w:color="auto" w:fill="auto"/>
          </w:tcPr>
          <w:p>
            <w:pPr>
              <w:widowControl/>
              <w:contextualSpacing/>
              <w:jc w:val="center"/>
              <w:rPr>
                <w:rFonts w:ascii="宋体" w:hAnsi="宋体" w:cs="宋体"/>
                <w:sz w:val="24"/>
              </w:rPr>
            </w:pPr>
            <w:r>
              <w:rPr>
                <w:rFonts w:hint="eastAsia" w:ascii="宋体" w:hAnsi="宋体" w:cs="宋体"/>
                <w:sz w:val="24"/>
              </w:rPr>
              <w:t>光源及灯具</w:t>
            </w:r>
          </w:p>
        </w:tc>
        <w:tc>
          <w:tcPr>
            <w:tcW w:w="865" w:type="dxa"/>
            <w:vMerge w:val="restart"/>
            <w:shd w:val="clear" w:color="auto" w:fill="auto"/>
          </w:tcPr>
          <w:p>
            <w:pPr>
              <w:widowControl/>
              <w:contextualSpacing/>
              <w:jc w:val="center"/>
              <w:rPr>
                <w:rFonts w:ascii="宋体" w:hAnsi="宋体" w:cs="宋体"/>
                <w:sz w:val="24"/>
              </w:rPr>
            </w:pPr>
            <w:r>
              <w:rPr>
                <w:rFonts w:hint="eastAsia" w:ascii="宋体" w:hAnsi="宋体" w:cs="宋体"/>
                <w:sz w:val="24"/>
              </w:rPr>
              <w:t>总安装容量（W）</w:t>
            </w:r>
          </w:p>
        </w:tc>
        <w:tc>
          <w:tcPr>
            <w:tcW w:w="1903" w:type="dxa"/>
            <w:gridSpan w:val="2"/>
            <w:shd w:val="clear" w:color="auto" w:fill="auto"/>
          </w:tcPr>
          <w:p>
            <w:pPr>
              <w:widowControl/>
              <w:contextualSpacing/>
              <w:jc w:val="center"/>
              <w:rPr>
                <w:rFonts w:ascii="宋体" w:hAnsi="宋体" w:cs="宋体"/>
                <w:sz w:val="24"/>
              </w:rPr>
            </w:pPr>
            <w:r>
              <w:rPr>
                <w:rFonts w:hint="eastAsia" w:ascii="宋体" w:hAnsi="宋体" w:cs="宋体"/>
                <w:sz w:val="24"/>
              </w:rPr>
              <w:t>设计标准值</w:t>
            </w:r>
          </w:p>
        </w:tc>
        <w:tc>
          <w:tcPr>
            <w:tcW w:w="1858" w:type="dxa"/>
            <w:gridSpan w:val="2"/>
            <w:shd w:val="clear" w:color="auto" w:fill="auto"/>
          </w:tcPr>
          <w:p>
            <w:pPr>
              <w:widowControl/>
              <w:contextualSpacing/>
              <w:jc w:val="center"/>
              <w:rPr>
                <w:rFonts w:ascii="宋体" w:hAnsi="宋体" w:cs="宋体"/>
                <w:sz w:val="24"/>
              </w:rPr>
            </w:pPr>
            <w:r>
              <w:rPr>
                <w:rFonts w:hint="eastAsia" w:ascii="宋体" w:hAnsi="宋体" w:cs="宋体"/>
                <w:sz w:val="24"/>
              </w:rPr>
              <w:t>实际计算值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vMerge w:val="continue"/>
            <w:shd w:val="clear" w:color="auto" w:fill="auto"/>
          </w:tcPr>
          <w:p>
            <w:pPr>
              <w:tabs>
                <w:tab w:val="left" w:pos="283"/>
              </w:tabs>
              <w:spacing w:line="425" w:lineRule="exact"/>
              <w:contextualSpacing/>
              <w:jc w:val="center"/>
              <w:rPr>
                <w:rFonts w:ascii="宋体" w:hAnsi="宋体" w:cs="宋体"/>
                <w:sz w:val="24"/>
              </w:rPr>
            </w:pPr>
          </w:p>
        </w:tc>
        <w:tc>
          <w:tcPr>
            <w:tcW w:w="838" w:type="dxa"/>
            <w:vMerge w:val="continue"/>
            <w:shd w:val="clear" w:color="auto" w:fill="auto"/>
          </w:tcPr>
          <w:p>
            <w:pPr>
              <w:tabs>
                <w:tab w:val="left" w:pos="283"/>
              </w:tabs>
              <w:spacing w:line="425" w:lineRule="exact"/>
              <w:contextualSpacing/>
              <w:jc w:val="center"/>
              <w:rPr>
                <w:rFonts w:ascii="宋体" w:hAnsi="宋体" w:cs="宋体"/>
                <w:sz w:val="24"/>
              </w:rPr>
            </w:pPr>
          </w:p>
        </w:tc>
        <w:tc>
          <w:tcPr>
            <w:tcW w:w="545" w:type="dxa"/>
            <w:vMerge w:val="continue"/>
            <w:shd w:val="clear" w:color="auto" w:fill="auto"/>
          </w:tcPr>
          <w:p>
            <w:pPr>
              <w:tabs>
                <w:tab w:val="left" w:pos="283"/>
              </w:tabs>
              <w:spacing w:line="425" w:lineRule="exact"/>
              <w:contextualSpacing/>
              <w:jc w:val="center"/>
              <w:rPr>
                <w:rFonts w:ascii="宋体" w:hAnsi="宋体" w:cs="宋体"/>
                <w:sz w:val="24"/>
              </w:rPr>
            </w:pPr>
          </w:p>
        </w:tc>
        <w:tc>
          <w:tcPr>
            <w:tcW w:w="580" w:type="dxa"/>
            <w:vMerge w:val="continue"/>
            <w:shd w:val="clear" w:color="auto" w:fill="auto"/>
          </w:tcPr>
          <w:p>
            <w:pPr>
              <w:tabs>
                <w:tab w:val="left" w:pos="283"/>
              </w:tabs>
              <w:spacing w:line="425" w:lineRule="exact"/>
              <w:contextualSpacing/>
              <w:jc w:val="center"/>
              <w:rPr>
                <w:rFonts w:ascii="宋体" w:hAnsi="宋体" w:cs="宋体"/>
                <w:sz w:val="24"/>
              </w:rPr>
            </w:pPr>
          </w:p>
        </w:tc>
        <w:tc>
          <w:tcPr>
            <w:tcW w:w="1072" w:type="dxa"/>
            <w:shd w:val="clear" w:color="auto" w:fill="auto"/>
          </w:tcPr>
          <w:p>
            <w:pPr>
              <w:widowControl/>
              <w:contextualSpacing/>
              <w:jc w:val="center"/>
              <w:rPr>
                <w:rFonts w:ascii="宋体" w:hAnsi="宋体" w:cs="宋体"/>
                <w:sz w:val="24"/>
              </w:rPr>
            </w:pPr>
            <w:r>
              <w:rPr>
                <w:rFonts w:hint="eastAsia" w:ascii="宋体" w:hAnsi="宋体" w:cs="宋体"/>
                <w:sz w:val="24"/>
              </w:rPr>
              <w:t>类型及功率</w:t>
            </w:r>
          </w:p>
        </w:tc>
        <w:tc>
          <w:tcPr>
            <w:tcW w:w="842" w:type="dxa"/>
            <w:shd w:val="clear" w:color="auto" w:fill="auto"/>
          </w:tcPr>
          <w:p>
            <w:pPr>
              <w:widowControl/>
              <w:contextualSpacing/>
              <w:jc w:val="center"/>
              <w:rPr>
                <w:rFonts w:ascii="宋体" w:hAnsi="宋体" w:cs="宋体"/>
                <w:sz w:val="24"/>
              </w:rPr>
            </w:pPr>
            <w:r>
              <w:rPr>
                <w:rFonts w:hint="eastAsia" w:ascii="宋体" w:hAnsi="宋体" w:cs="宋体"/>
                <w:sz w:val="24"/>
              </w:rPr>
              <w:t>光通量</w:t>
            </w:r>
          </w:p>
          <w:p>
            <w:pPr>
              <w:widowControl/>
              <w:contextualSpacing/>
              <w:jc w:val="center"/>
              <w:rPr>
                <w:rFonts w:ascii="宋体" w:hAnsi="宋体" w:cs="宋体"/>
                <w:sz w:val="24"/>
              </w:rPr>
            </w:pPr>
            <w:r>
              <w:rPr>
                <w:rFonts w:hint="eastAsia" w:ascii="宋体" w:hAnsi="宋体" w:cs="宋体"/>
                <w:sz w:val="24"/>
              </w:rPr>
              <w:t>（lm）</w:t>
            </w:r>
          </w:p>
        </w:tc>
        <w:tc>
          <w:tcPr>
            <w:tcW w:w="865" w:type="dxa"/>
            <w:vMerge w:val="continue"/>
            <w:shd w:val="clear" w:color="auto" w:fill="auto"/>
          </w:tcPr>
          <w:p>
            <w:pPr>
              <w:widowControl/>
              <w:contextualSpacing/>
              <w:jc w:val="center"/>
              <w:rPr>
                <w:rFonts w:ascii="宋体" w:hAnsi="宋体" w:cs="宋体"/>
                <w:sz w:val="24"/>
              </w:rPr>
            </w:pPr>
          </w:p>
        </w:tc>
        <w:tc>
          <w:tcPr>
            <w:tcW w:w="899" w:type="dxa"/>
            <w:shd w:val="clear" w:color="auto" w:fill="auto"/>
          </w:tcPr>
          <w:p>
            <w:pPr>
              <w:widowControl/>
              <w:contextualSpacing/>
              <w:jc w:val="center"/>
              <w:rPr>
                <w:rFonts w:ascii="宋体" w:hAnsi="宋体" w:cs="宋体"/>
                <w:sz w:val="24"/>
              </w:rPr>
            </w:pPr>
            <w:r>
              <w:rPr>
                <w:rFonts w:hint="eastAsia" w:ascii="宋体" w:hAnsi="宋体" w:cs="宋体"/>
                <w:sz w:val="24"/>
              </w:rPr>
              <w:t>照度值</w:t>
            </w:r>
          </w:p>
          <w:p>
            <w:pPr>
              <w:widowControl/>
              <w:contextualSpacing/>
              <w:jc w:val="center"/>
              <w:rPr>
                <w:rFonts w:ascii="宋体" w:hAnsi="宋体" w:cs="宋体"/>
                <w:sz w:val="24"/>
              </w:rPr>
            </w:pPr>
            <w:r>
              <w:rPr>
                <w:rFonts w:hint="eastAsia" w:ascii="宋体" w:hAnsi="宋体" w:cs="宋体"/>
                <w:sz w:val="24"/>
              </w:rPr>
              <w:t>（lx）</w:t>
            </w:r>
          </w:p>
        </w:tc>
        <w:tc>
          <w:tcPr>
            <w:tcW w:w="1004" w:type="dxa"/>
            <w:shd w:val="clear" w:color="auto" w:fill="auto"/>
          </w:tcPr>
          <w:p>
            <w:pPr>
              <w:widowControl/>
              <w:contextualSpacing/>
              <w:jc w:val="center"/>
              <w:rPr>
                <w:rFonts w:ascii="宋体" w:hAnsi="宋体" w:cs="宋体"/>
                <w:sz w:val="24"/>
              </w:rPr>
            </w:pPr>
            <w:r>
              <w:rPr>
                <w:rFonts w:hint="eastAsia" w:ascii="宋体" w:hAnsi="宋体" w:cs="宋体"/>
                <w:sz w:val="24"/>
              </w:rPr>
              <w:t>LPD限值</w:t>
            </w:r>
          </w:p>
          <w:p>
            <w:pPr>
              <w:widowControl/>
              <w:contextualSpacing/>
              <w:jc w:val="center"/>
              <w:rPr>
                <w:rFonts w:ascii="宋体" w:hAnsi="宋体" w:cs="宋体"/>
                <w:sz w:val="24"/>
              </w:rPr>
            </w:pPr>
            <w:r>
              <w:rPr>
                <w:rFonts w:hint="eastAsia" w:ascii="宋体" w:hAnsi="宋体" w:cs="宋体"/>
                <w:sz w:val="24"/>
              </w:rPr>
              <w:t>（W/m</w:t>
            </w:r>
            <w:r>
              <w:rPr>
                <w:rFonts w:hint="eastAsia" w:ascii="宋体" w:hAnsi="宋体" w:cs="宋体"/>
                <w:sz w:val="24"/>
                <w:vertAlign w:val="superscript"/>
              </w:rPr>
              <w:t>2</w:t>
            </w:r>
            <w:r>
              <w:rPr>
                <w:rFonts w:hint="eastAsia" w:ascii="宋体" w:hAnsi="宋体" w:cs="宋体"/>
                <w:sz w:val="24"/>
              </w:rPr>
              <w:t>）</w:t>
            </w:r>
          </w:p>
        </w:tc>
        <w:tc>
          <w:tcPr>
            <w:tcW w:w="838" w:type="dxa"/>
            <w:shd w:val="clear" w:color="auto" w:fill="auto"/>
          </w:tcPr>
          <w:p>
            <w:pPr>
              <w:widowControl/>
              <w:contextualSpacing/>
              <w:jc w:val="center"/>
              <w:rPr>
                <w:rFonts w:ascii="宋体" w:hAnsi="宋体" w:cs="宋体"/>
                <w:sz w:val="24"/>
              </w:rPr>
            </w:pPr>
            <w:r>
              <w:rPr>
                <w:rFonts w:hint="eastAsia" w:ascii="宋体" w:hAnsi="宋体" w:cs="宋体"/>
                <w:sz w:val="24"/>
              </w:rPr>
              <w:t>照度值（lx）</w:t>
            </w:r>
          </w:p>
        </w:tc>
        <w:tc>
          <w:tcPr>
            <w:tcW w:w="1020" w:type="dxa"/>
            <w:shd w:val="clear" w:color="auto" w:fill="auto"/>
          </w:tcPr>
          <w:p>
            <w:pPr>
              <w:widowControl/>
              <w:contextualSpacing/>
              <w:jc w:val="center"/>
              <w:rPr>
                <w:rFonts w:ascii="宋体" w:hAnsi="宋体" w:cs="宋体"/>
                <w:sz w:val="24"/>
              </w:rPr>
            </w:pPr>
            <w:r>
              <w:rPr>
                <w:rFonts w:hint="eastAsia" w:ascii="宋体" w:hAnsi="宋体" w:cs="宋体"/>
                <w:sz w:val="24"/>
              </w:rPr>
              <w:t>LPD值（W/m</w:t>
            </w:r>
            <w:r>
              <w:rPr>
                <w:rFonts w:hint="eastAsia" w:ascii="宋体" w:hAnsi="宋体" w:cs="宋体"/>
                <w:sz w:val="24"/>
                <w:vertAlign w:val="superscript"/>
              </w:rPr>
              <w:t>2</w:t>
            </w: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走道</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14.4</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0.75</w:t>
            </w:r>
          </w:p>
        </w:tc>
        <w:tc>
          <w:tcPr>
            <w:tcW w:w="1072" w:type="dxa"/>
            <w:shd w:val="clear" w:color="auto" w:fill="auto"/>
          </w:tcPr>
          <w:p>
            <w:pPr>
              <w:tabs>
                <w:tab w:val="left" w:pos="283"/>
              </w:tabs>
              <w:spacing w:line="425" w:lineRule="exact"/>
              <w:contextualSpacing/>
              <w:jc w:val="center"/>
              <w:rPr>
                <w:rFonts w:ascii="宋体" w:hAnsi="宋体" w:cs="宋体"/>
                <w:sz w:val="22"/>
                <w:szCs w:val="22"/>
              </w:rPr>
            </w:pPr>
            <w:r>
              <w:rPr>
                <w:rFonts w:hint="eastAsia" w:ascii="宋体" w:hAnsi="宋体" w:cs="宋体"/>
                <w:sz w:val="22"/>
                <w:szCs w:val="22"/>
              </w:rPr>
              <w:t>LED,</w:t>
            </w:r>
            <w:r>
              <w:rPr>
                <w:rFonts w:ascii="宋体" w:hAnsi="宋体" w:cs="宋体"/>
                <w:sz w:val="22"/>
                <w:szCs w:val="22"/>
              </w:rPr>
              <w:t>32W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2500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32</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104.17</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护士站</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6.05</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0.85</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0.85</w:t>
            </w:r>
          </w:p>
        </w:tc>
        <w:tc>
          <w:tcPr>
            <w:tcW w:w="107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2"/>
                <w:szCs w:val="22"/>
              </w:rPr>
              <w:t>LED,</w:t>
            </w:r>
            <w:r>
              <w:rPr>
                <w:rFonts w:ascii="宋体" w:hAnsi="宋体" w:cs="宋体"/>
                <w:sz w:val="22"/>
                <w:szCs w:val="22"/>
              </w:rPr>
              <w:t>32W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2500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32</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298.55</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卫生间</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2.93</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0.7</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0.72</w:t>
            </w:r>
          </w:p>
        </w:tc>
        <w:tc>
          <w:tcPr>
            <w:tcW w:w="107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2"/>
                <w:szCs w:val="22"/>
              </w:rPr>
              <w:t>LED,</w:t>
            </w:r>
            <w:r>
              <w:rPr>
                <w:rFonts w:ascii="宋体" w:hAnsi="宋体" w:cs="宋体"/>
                <w:sz w:val="22"/>
                <w:szCs w:val="22"/>
              </w:rPr>
              <w:t>9W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850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9</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151.38</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办公室</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20.58</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w:t>
            </w:r>
          </w:p>
        </w:tc>
        <w:tc>
          <w:tcPr>
            <w:tcW w:w="107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2"/>
                <w:szCs w:val="22"/>
              </w:rPr>
              <w:t>LED,</w:t>
            </w:r>
            <w:r>
              <w:rPr>
                <w:rFonts w:ascii="宋体" w:hAnsi="宋体" w:cs="宋体"/>
                <w:sz w:val="22"/>
                <w:szCs w:val="22"/>
              </w:rPr>
              <w:t>32W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2500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128</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310.98</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风机房</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16.00</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0.7</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0.65</w:t>
            </w:r>
          </w:p>
        </w:tc>
        <w:tc>
          <w:tcPr>
            <w:tcW w:w="107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2"/>
                <w:szCs w:val="22"/>
              </w:rPr>
              <w:t>LED,</w:t>
            </w:r>
            <w:r>
              <w:rPr>
                <w:rFonts w:ascii="宋体" w:hAnsi="宋体" w:cs="宋体"/>
                <w:sz w:val="22"/>
                <w:szCs w:val="22"/>
              </w:rPr>
              <w:t>18W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1800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36</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102.38</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治疗室</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17.98</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0.75</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0.7</w:t>
            </w:r>
          </w:p>
        </w:tc>
        <w:tc>
          <w:tcPr>
            <w:tcW w:w="1072" w:type="dxa"/>
            <w:shd w:val="clear" w:color="auto" w:fill="auto"/>
          </w:tcPr>
          <w:p>
            <w:pPr>
              <w:tabs>
                <w:tab w:val="left" w:pos="283"/>
              </w:tabs>
              <w:spacing w:line="425" w:lineRule="exact"/>
              <w:contextualSpacing/>
              <w:jc w:val="center"/>
              <w:rPr>
                <w:rFonts w:ascii="宋体" w:hAnsi="宋体" w:cs="宋体"/>
                <w:sz w:val="22"/>
                <w:szCs w:val="22"/>
              </w:rPr>
            </w:pPr>
            <w:r>
              <w:rPr>
                <w:rFonts w:hint="eastAsia" w:ascii="宋体" w:hAnsi="宋体" w:cs="宋体"/>
                <w:sz w:val="22"/>
                <w:szCs w:val="22"/>
              </w:rPr>
              <w:t>LED,</w:t>
            </w:r>
            <w:r>
              <w:rPr>
                <w:rFonts w:ascii="宋体" w:hAnsi="宋体" w:cs="宋体"/>
                <w:sz w:val="22"/>
                <w:szCs w:val="22"/>
              </w:rPr>
              <w:t>64W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512</w:t>
            </w:r>
            <w:r>
              <w:rPr>
                <w:rFonts w:hint="eastAsia" w:ascii="宋体" w:hAnsi="宋体" w:cs="宋体"/>
                <w:sz w:val="24"/>
              </w:rPr>
              <w:t>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128</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299.00</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诊室</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13.11</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0.85</w:t>
            </w:r>
          </w:p>
        </w:tc>
        <w:tc>
          <w:tcPr>
            <w:tcW w:w="107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2"/>
                <w:szCs w:val="22"/>
              </w:rPr>
              <w:t>LED,</w:t>
            </w:r>
            <w:r>
              <w:rPr>
                <w:rFonts w:ascii="宋体" w:hAnsi="宋体" w:cs="宋体"/>
                <w:sz w:val="22"/>
                <w:szCs w:val="22"/>
              </w:rPr>
              <w:t>32W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2500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64</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300.84</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候诊区</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25.03</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0.85</w:t>
            </w:r>
          </w:p>
        </w:tc>
        <w:tc>
          <w:tcPr>
            <w:tcW w:w="107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2"/>
                <w:szCs w:val="22"/>
              </w:rPr>
              <w:t>LED,</w:t>
            </w:r>
            <w:r>
              <w:rPr>
                <w:rFonts w:ascii="宋体" w:hAnsi="宋体" w:cs="宋体"/>
                <w:sz w:val="22"/>
                <w:szCs w:val="22"/>
              </w:rPr>
              <w:t>32W</w:t>
            </w:r>
          </w:p>
        </w:tc>
        <w:tc>
          <w:tcPr>
            <w:tcW w:w="842" w:type="dxa"/>
            <w:shd w:val="clear" w:color="auto" w:fill="auto"/>
          </w:tcPr>
          <w:p>
            <w:pPr>
              <w:tabs>
                <w:tab w:val="left" w:pos="283"/>
              </w:tabs>
              <w:spacing w:line="425" w:lineRule="exact"/>
              <w:contextualSpacing/>
              <w:rPr>
                <w:rFonts w:ascii="宋体" w:hAnsi="宋体" w:cs="宋体"/>
                <w:sz w:val="24"/>
              </w:rPr>
            </w:pPr>
            <w:r>
              <w:rPr>
                <w:rFonts w:ascii="宋体" w:hAnsi="宋体" w:cs="宋体"/>
                <w:sz w:val="24"/>
              </w:rPr>
              <w:t>2500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96</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203.76</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vAlign w:val="center"/>
          </w:tcPr>
          <w:p>
            <w:pPr>
              <w:spacing w:line="360" w:lineRule="auto"/>
              <w:rPr>
                <w:rFonts w:ascii="Romantic" w:hAnsi="Romantic"/>
                <w:sz w:val="24"/>
              </w:rPr>
            </w:pPr>
            <w:r>
              <w:rPr>
                <w:rFonts w:ascii="Romantic" w:hAnsi="Romantic"/>
                <w:sz w:val="24"/>
              </w:rPr>
              <w:t>药房</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24.51</w:t>
            </w:r>
          </w:p>
        </w:tc>
        <w:tc>
          <w:tcPr>
            <w:tcW w:w="54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0.8</w:t>
            </w:r>
          </w:p>
        </w:tc>
        <w:tc>
          <w:tcPr>
            <w:tcW w:w="580"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0.75</w:t>
            </w:r>
          </w:p>
        </w:tc>
        <w:tc>
          <w:tcPr>
            <w:tcW w:w="1072"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2"/>
                <w:szCs w:val="22"/>
              </w:rPr>
              <w:t>LED,</w:t>
            </w:r>
            <w:r>
              <w:rPr>
                <w:rFonts w:ascii="宋体" w:hAnsi="宋体" w:cs="宋体"/>
                <w:sz w:val="22"/>
                <w:szCs w:val="22"/>
              </w:rPr>
              <w:t>64W</w:t>
            </w:r>
          </w:p>
        </w:tc>
        <w:tc>
          <w:tcPr>
            <w:tcW w:w="842"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5120</w:t>
            </w:r>
          </w:p>
        </w:tc>
        <w:tc>
          <w:tcPr>
            <w:tcW w:w="865" w:type="dxa"/>
            <w:shd w:val="clear" w:color="auto" w:fill="auto"/>
          </w:tcPr>
          <w:p>
            <w:pPr>
              <w:tabs>
                <w:tab w:val="left" w:pos="283"/>
              </w:tabs>
              <w:spacing w:line="425" w:lineRule="exact"/>
              <w:contextualSpacing/>
              <w:jc w:val="center"/>
              <w:rPr>
                <w:rFonts w:ascii="宋体" w:hAnsi="宋体" w:cs="宋体"/>
                <w:sz w:val="24"/>
              </w:rPr>
            </w:pPr>
            <w:r>
              <w:rPr>
                <w:rFonts w:hint="eastAsia" w:ascii="宋体" w:hAnsi="宋体" w:cs="宋体"/>
                <w:sz w:val="24"/>
              </w:rPr>
              <w:t>256</w:t>
            </w:r>
          </w:p>
        </w:tc>
        <w:tc>
          <w:tcPr>
            <w:tcW w:w="899"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1004" w:type="dxa"/>
            <w:shd w:val="clear" w:color="auto" w:fill="auto"/>
            <w:vAlign w:val="center"/>
          </w:tcPr>
          <w:p>
            <w:pPr>
              <w:spacing w:line="360" w:lineRule="auto"/>
              <w:rPr>
                <w:rFonts w:ascii="Romantic" w:hAnsi="Romantic"/>
                <w:color w:val="FF0000"/>
                <w:sz w:val="24"/>
              </w:rPr>
            </w:pPr>
            <w:r>
              <w:rPr>
                <w:rFonts w:ascii="Romantic" w:hAnsi="Romantic"/>
                <w:color w:val="FF0000"/>
                <w:sz w:val="24"/>
              </w:rPr>
              <w:t></w:t>
            </w:r>
          </w:p>
        </w:tc>
        <w:tc>
          <w:tcPr>
            <w:tcW w:w="838"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501.35</w:t>
            </w:r>
          </w:p>
        </w:tc>
        <w:tc>
          <w:tcPr>
            <w:tcW w:w="1020" w:type="dxa"/>
            <w:shd w:val="clear" w:color="auto" w:fill="auto"/>
          </w:tcPr>
          <w:p>
            <w:pPr>
              <w:tabs>
                <w:tab w:val="left" w:pos="283"/>
              </w:tabs>
              <w:spacing w:line="425" w:lineRule="exact"/>
              <w:contextualSpacing/>
              <w:jc w:val="center"/>
              <w:rPr>
                <w:rFonts w:ascii="宋体" w:hAnsi="宋体" w:cs="宋体"/>
                <w:sz w:val="24"/>
              </w:rPr>
            </w:pPr>
            <w:r>
              <w:rPr>
                <w:rFonts w:ascii="宋体" w:hAnsi="宋体" w:cs="宋体"/>
                <w:sz w:val="24"/>
              </w:rPr>
              <w:t>11.26</w:t>
            </w:r>
          </w:p>
        </w:tc>
      </w:tr>
    </w:tbl>
    <w:p>
      <w:pPr>
        <w:tabs>
          <w:tab w:val="left" w:pos="283"/>
        </w:tabs>
        <w:spacing w:line="425" w:lineRule="exact"/>
        <w:contextualSpacing/>
        <w:rPr>
          <w:rFonts w:ascii="宋体" w:hAnsi="宋体" w:cs="宋体"/>
          <w:color w:val="0070C0"/>
          <w:w w:val="90"/>
          <w:sz w:val="30"/>
          <w:szCs w:val="30"/>
        </w:rPr>
      </w:pP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本工程照明采用节能产品及控制措施，具体详本说明第9节。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建筑设备的电气节能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选用绿色、环保且经国家认证的电气产品。</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水泵、风机等设备及其他电气装置满足相关现行国家相关能效标准节能评价值要求。电动机、交流接触器和照明产品的能效水平应高于能效限定值或能效等级3级的要求。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电梯、水泵、风机等设备采取具有节电措施的设备。水泵、风机以及电热设备应采取节能自动控制措施。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合理选用电梯和自动扶梯，采取电梯群控、扶梯自动启停、变频调速等节能控制措施。电梯应具备节能运行功能；两台及以上电梯集中排列时，应设置群控措施；电梯应具备无外部召唤且轿厢内一段时间无预置指令时，自动转为节能运行模式的功能。自动扶梯、自动人行步道应具备空载时暂停或低速运转的功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分项计量措施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对照明用电、空调用电、动力用电、其他特殊用电进行用电分项计量。</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电能计量装置设置向本说明第6.3条。</w:t>
      </w:r>
    </w:p>
    <w:p>
      <w:pPr>
        <w:tabs>
          <w:tab w:val="left" w:pos="283"/>
        </w:tabs>
        <w:spacing w:line="425" w:lineRule="exact"/>
        <w:ind w:left="227"/>
        <w:contextualSpacing/>
        <w:rPr>
          <w:rFonts w:ascii="宋体" w:hAnsi="宋体" w:cs="宋体"/>
          <w:w w:val="90"/>
          <w:sz w:val="30"/>
          <w:szCs w:val="30"/>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火灾自动报警系统</w:t>
      </w:r>
    </w:p>
    <w:p>
      <w:pPr>
        <w:tabs>
          <w:tab w:val="left" w:pos="283"/>
        </w:tabs>
        <w:spacing w:line="425" w:lineRule="exact"/>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本工程办公区域火灾自动报警系统采用</w:t>
      </w:r>
      <w:r>
        <w:rPr>
          <w:rFonts w:hint="eastAsia" w:ascii="宋体" w:hAnsi="宋体" w:cs="宋体"/>
          <w:w w:val="90"/>
          <w:sz w:val="30"/>
          <w:szCs w:val="30"/>
          <w:u w:val="single"/>
        </w:rPr>
        <w:t xml:space="preserve">集中报警系统 </w:t>
      </w:r>
      <w:r>
        <w:rPr>
          <w:rFonts w:hint="eastAsia" w:ascii="宋体" w:hAnsi="宋体" w:cs="宋体"/>
          <w:w w:val="90"/>
          <w:sz w:val="30"/>
          <w:szCs w:val="30"/>
        </w:rPr>
        <w:t>，消防主控制室设在</w:t>
      </w:r>
      <w:r>
        <w:rPr>
          <w:rFonts w:hint="eastAsia" w:ascii="宋体" w:hAnsi="宋体" w:cs="宋体"/>
          <w:w w:val="90"/>
          <w:sz w:val="30"/>
          <w:szCs w:val="30"/>
          <w:u w:val="single"/>
          <w:lang w:val="en-US" w:eastAsia="zh-CN"/>
        </w:rPr>
        <w:t>康乐楼</w:t>
      </w:r>
      <w:r>
        <w:rPr>
          <w:rFonts w:hint="eastAsia" w:ascii="宋体" w:hAnsi="宋体" w:cs="宋体"/>
          <w:w w:val="90"/>
          <w:sz w:val="30"/>
          <w:szCs w:val="30"/>
          <w:u w:val="single"/>
        </w:rPr>
        <w:t>首层</w:t>
      </w:r>
      <w:r>
        <w:rPr>
          <w:rFonts w:hint="eastAsia" w:ascii="宋体" w:hAnsi="宋体" w:cs="宋体"/>
          <w:w w:val="90"/>
          <w:sz w:val="30"/>
          <w:szCs w:val="30"/>
        </w:rPr>
        <w:t>。具体详</w:t>
      </w:r>
      <w:r>
        <w:rPr>
          <w:rFonts w:hint="eastAsia" w:ascii="宋体" w:hAnsi="宋体" w:cs="宋体"/>
          <w:w w:val="90"/>
          <w:sz w:val="30"/>
          <w:szCs w:val="30"/>
          <w:u w:val="single"/>
        </w:rPr>
        <w:t>“电气消防设计说明”，见图纸D3-1-M1、D3-1-M2</w:t>
      </w:r>
      <w:r>
        <w:rPr>
          <w:rFonts w:hint="eastAsia" w:ascii="宋体" w:hAnsi="宋体" w:cs="宋体"/>
          <w:w w:val="90"/>
          <w:sz w:val="30"/>
          <w:szCs w:val="30"/>
        </w:rPr>
        <w:t>。</w:t>
      </w: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抗震设计</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抗震设防烈度为6度及6度以上地区的建筑机电工程应进行抗震设计；非结构构件，包括建筑非结构构件和建筑附属机电设备，自身与结构主体的连接应进行抗震设计。</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重要电力设施可按设防烈度提高1度进行抗震设计，但当设防烈度为8度及以上时可不再提高。</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本项目抗震设防烈度为</w:t>
      </w:r>
      <w:r>
        <w:rPr>
          <w:rFonts w:hint="eastAsia" w:ascii="宋体" w:hAnsi="宋体" w:cs="宋体"/>
          <w:w w:val="90"/>
          <w:sz w:val="30"/>
          <w:szCs w:val="30"/>
          <w:u w:val="single"/>
        </w:rPr>
        <w:t>6度</w:t>
      </w:r>
      <w:r>
        <w:rPr>
          <w:rFonts w:hint="eastAsia" w:ascii="宋体" w:hAnsi="宋体" w:cs="宋体"/>
          <w:w w:val="90"/>
          <w:sz w:val="30"/>
          <w:szCs w:val="30"/>
        </w:rPr>
        <w:t xml:space="preserve">，电气系统、设备、机房以及内径不小于60mm的电气配管及重力不小于150N／m的电缆梯架、电缆槽盒、母线槽均应进行抗震设防。   </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管道和设备与建筑结构的连接，应具有足够的变形能力，以满足相对位移的需要。</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筑附属机电设备的基座或支架，以及相关连接件和锚固件应具有足够的刚度和强度，应能将设备承受的地震作用全部传递到建筑结构上。建筑结构中，用以固定建筑附属机电设备预埋件、锚固件的部位，应采取加强措施，以承受附属机电设备传给主体结构的地震作用。</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抗震支吊架设计要求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抗震支吊架最大设计间距按照《建筑机电工程抗震设计规范》GB 50981-2014 第8.2.3条规定进行初步计算，并根据8.2.5条规定进行验算，调整抗震支吊架间距，直至各个节点均满足抗震荷载要求。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新建工程的刚性材质（非金属材质）电气桥架、套管的侧向抗震支吊架最大间距为12m（6m），纵向抗震支吊架最大间距24m（12m）；改建工程的最大抗震加固间距为上述参数的一半。</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每段水平直管道、桥架应在两端设置侧向抗震支吊架；当两个侧向抗震支吊架间距大于最大设计间距时，应在中间增设侧向抗震支吊架。</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每段水平直管道应至少设置一个纵向抗震支吊架，当两个纵向抗震支吊架距离大于最大设计间距时，应按本说明16.6.1、16.6.2条的规定间距依次增设纵向抗震支吊架。</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抗震支吊架的斜撑与吊架的距离不得大于0.1m。</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水平管道、桥架应在离转弯处0.6m范围内设置侧向抗震支吊架；当水平管道通过垂直管道与地面设备连接时，管道与设备之间应采用柔性连接，水平管道距垂直管道0.6m范围内设置侧向支撑，垂直管道距地面大于0.15m设置抗震支撑。</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水平管道、桥架在安装柔性补偿器或伸缩节的两端应设置侧向及纵向抗震支吊架。</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应急广播系统宜预置地震广播模式。</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电梯的设计应符合下列规定：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电梯和相关机械、控制器的连接、支承应满足水平地震作用及地震相对位移的要求。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垂直电梯宜具有地震探测功能，地震时电梯应能够自动就近平层并停运。电梯原则上应配套自动平层装置。</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柴油发电机组的安装设计应符合下列规定：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应设置震动隔离装置。</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与外部管道应采用柔性连接。</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设备与基础之间、设备与减震装置之间的地脚螺栓应能承受水平地震力和垂直地震力。</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蓄电池、电力电容器的安装设计应符合下列规定：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蓄电池应安装在抗震架上。</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蓄电池间连线应采用柔性导体连接，端电池宜采用电缆作为引出线。</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蓄电池安装重心较高时，应采取防止倾倒措施。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电力电容器应固定在支架上，其引线宜采用软导体。当采用硬母线连接时，应装设伸缩节装置。</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配电箱(柜)、通信设备的安装设计应符合下列规定：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配电箱(柜)、通信设备的安装螺栓或焊接强度应满足抗震要求。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靠墙安装的配电柜、通信设备机柜底部安装应牢固。当底部安装螺栓或焊接强度不够时，应将顶部与墙壁进行连接。</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当配电柜、通信设备柜等非靠墙落地安装时，根部应采用金属膨胀螺栓或焊接的固定方式。当8度或9度时，可将几个柜在重心位置以上连成整体。</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壁式安装的配电箱与墙壁之间应采用金属膨胀螺栓连接。</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配电箱(柜)、通信设备机柜内的元器件应考虑与支承结构间的相互作用，元器件之间采用软连接，接线处应做防震处理。</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配电箱(柜)面上的仪表应与柜体组装牢固。</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设在水平操作面上的消防、安防设备应采取防止滑动措施。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安装在吊顶上的灯具，应考虑地震时吊顶与楼板的相对位移。</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配电导体应符合下列规定：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当采用硬母线敷设且直线段长度大于80m时，应每50m设置伸缩节。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在电缆桥架、电缆槽盒内敷设的缆线在引进、引出和转弯处，应在长度上留有余量。</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接地线应采取防止地震时被切断的措施。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引入建筑物的电气管路敷设时应符合下列规定：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在进口处应采用挠性线管或采取其他抗震措施。</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当进户井贴邻建筑物设置时，缆线应在井中留有余量。</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进户套管与引入管之间的间隙应采用柔性防腐、防水材料密封。</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电气管路不宜穿越抗震缝，当必须穿越时应符合下列规定：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采用金属导管、刚性塑料导管敷设时宜靠近建筑物下部穿越，且在抗震缝两侧应各设置一个柔性管接头。</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电缆梯架、电缆槽盒、母线槽在抗震缝两侧应设置伸缩节。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抗震缝的两端应设置抗震支撑节点并与结构可靠连接。</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电气管路敷设时应符合下列规定：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当线路采用金属导管、刚性塑料导管、电缆梯架或电缆槽盒敷设时，应使用刚性托架或支架固定，不宜使用吊架。当必须使用吊架时，应安装横向防晃吊架。</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当金属导管、刚性塑料导管、电缆梯架或电缆槽盒穿越防火分区时，其缝隙应采用柔性防火封堵材料封堵，并应在贯穿部位附近设置抗震支撑。</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金属导管、刚性塑料导管的直线段部分每隔30m应设置伸缩节。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配电装置至用电设备间连线应符合下列规定：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当采用穿金属导管、刚性塑料导管敷设时，进口处应转为挠性线管过渡。</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当采用电缆梯架或电缆槽盒敷设时，进口处应转为挠性线管过渡。</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电气专业其他抗震设计要求应符合《建筑机电工程抗震设计规范》GB 50981-2014的相关规定。</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u w:val="single"/>
        </w:rPr>
        <w:t>本工程抗震支吊架具体由专业公司负责施工图设计，报我院审核后实施</w:t>
      </w:r>
      <w:r>
        <w:rPr>
          <w:rFonts w:hint="eastAsia" w:ascii="宋体" w:hAnsi="宋体" w:cs="宋体"/>
          <w:w w:val="90"/>
          <w:sz w:val="30"/>
          <w:szCs w:val="30"/>
        </w:rPr>
        <w:t>。</w:t>
      </w:r>
    </w:p>
    <w:p>
      <w:pPr>
        <w:tabs>
          <w:tab w:val="left" w:pos="283"/>
        </w:tabs>
        <w:spacing w:line="425" w:lineRule="exact"/>
        <w:ind w:left="227"/>
        <w:contextualSpacing/>
        <w:rPr>
          <w:rFonts w:ascii="宋体" w:hAnsi="宋体" w:cs="宋体"/>
          <w:w w:val="90"/>
          <w:sz w:val="30"/>
          <w:szCs w:val="30"/>
        </w:rPr>
      </w:pPr>
    </w:p>
    <w:p>
      <w:pPr>
        <w:numPr>
          <w:ilvl w:val="0"/>
          <w:numId w:val="1"/>
        </w:numPr>
        <w:tabs>
          <w:tab w:val="left" w:pos="283"/>
          <w:tab w:val="clear" w:pos="0"/>
        </w:tabs>
        <w:spacing w:line="425" w:lineRule="exact"/>
        <w:contextualSpacing/>
        <w:rPr>
          <w:rFonts w:ascii="宋体" w:hAnsi="宋体" w:cs="宋体"/>
          <w:sz w:val="32"/>
        </w:rPr>
      </w:pPr>
      <w:r>
        <w:rPr>
          <w:rFonts w:hint="eastAsia" w:ascii="宋体" w:hAnsi="宋体" w:cs="宋体"/>
          <w:sz w:val="32"/>
        </w:rPr>
        <w:t>其他</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本工程所选用的电气设备，订货前先确认被控设备电气参数是否与图纸一致，当设备功率偏离机电施工图中标示的功率时，应及时通知相关建设、监理、设计及施工人员处理，并经各方共同确认后方可订货；设备配电箱、控制箱订货前应确认相关消防、BAS等控制接口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风机、水泵等设备控制柜（箱）订货采购时应按设计图纸、国标图集《常用风机控制电路图》16D303-2、《常用水泵控制电路图》16D303-3的要求配置相关控制系统，并预留相应的消防及BAS监控接口。</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由设备制造生产厂或供货商成套提供的配电控制箱（柜），其系统及控制接线应满足国家现行的规范、标准及图集的要求，各项性能指标包括用电及人身安全防护等措施应能满足相应的现行国家行业地方设计及施工验收标准规范的要求。</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应根据各电梯最终订货的型号规格及电气参数，复核电梯配电箱的开关、电缆规格，确保满足电梯运行要求。垂直电梯应具有断电就近自动平层开门功能。</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凡与施工有关而又未说明之处，参见《建筑电气与智能化通用规范》GB 55024-2022、《建筑电气工程施工质量验收规范》GB 50303-2015 等相关国家、地方规范标准和标准图集。</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所选用的电气和智能化系统设备、线缆和材料等，应为符合相应产品标准的合格产品，并具有相关检测合格证书；有产品认证要求的应取得相应的认证证书。</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施工单位进场前应先核对电气图纸，对进出建筑物，暗敷楼板、穿越结构墙体的电气管线进行配合预留孔洞工作。</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根据国务院颁发的《建设工程质量管理条例》（第279号令），建设方、施工单位要做到：</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本设计文件需报县级以上人民政府建设行政主管部门或其他有关部门、施工图审图部门审查批准后，方可使用。</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建设方应提供电源等市政原始资料，原始资料必须真实、准确、齐全。</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由各单位采购的设备、材料，应保证符合设计文件及合同的要求。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施工单位必须按照工程设计图纸和施工技术标准施工，不能自行修改工程设计。施工单位在施工过程中发现设计文件和图纸有差错的，应当及时提出意见和建议，并通知设计方进行修改。</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施工中各相关单位必须遵守国家、行业和本地区有关保障工程质量、生产安全和环境保护的相关法律法规、技术标准规范规程的规定。</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建设工程施工现场供电安全措施应满足《建设工程施工现场供电安全规范》GB 50194-2014、《施工现场临时用电安全技术规范》JGJ 46-2005及其他相关规范标准的要求。</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建设工程竣工验收时，必须具备设计单位签署的质量合格文件。</w:t>
      </w:r>
    </w:p>
    <w:p>
      <w:pPr>
        <w:numPr>
          <w:ilvl w:val="2"/>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建筑电气工程和智能化系统工程的施工验收必须坚持设备运行安全、用电安全的原则，强化过程验收控制。</w:t>
      </w:r>
    </w:p>
    <w:p>
      <w:pPr>
        <w:numPr>
          <w:ilvl w:val="1"/>
          <w:numId w:val="1"/>
        </w:numPr>
        <w:tabs>
          <w:tab w:val="left" w:pos="283"/>
          <w:tab w:val="clear" w:pos="0"/>
        </w:tabs>
        <w:spacing w:line="425" w:lineRule="exact"/>
        <w:contextualSpacing/>
        <w:rPr>
          <w:rFonts w:ascii="宋体" w:hAnsi="宋体" w:cs="宋体"/>
          <w:w w:val="90"/>
          <w:sz w:val="30"/>
          <w:szCs w:val="30"/>
        </w:rPr>
      </w:pPr>
      <w:r>
        <w:rPr>
          <w:rFonts w:hint="eastAsia" w:ascii="宋体" w:hAnsi="宋体" w:cs="宋体"/>
          <w:w w:val="90"/>
          <w:sz w:val="30"/>
          <w:szCs w:val="30"/>
        </w:rPr>
        <w:t>采用国家建筑标准设计图集</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《电缆防火阻燃设计与施工》06D105</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《电缆敷设(2013年合订本)》D101-1～7</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《110kV及以下电缆敷设》12D101-5</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《110kV及以下电力电缆终端头和接头》13D101-1~4</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《电力电缆井设计与安装》07SD101-8</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《矿物绝缘电缆敷设》09D101-6</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《预制分支和铝合金电力电缆》 13D101-7</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《室内管线安装（2004年合订本）》 D301~3</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《电气竖井设备安装》04D701-1</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《母线槽安装》19D701-2</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《电缆桥架安装》04D701-3</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《常用风机控制电路图》16D303-2</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《常用水泵控制电路图》16D303-3</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《常用低压配电设备及灯具安装（2004年合订本）》D702-1~3</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《应急照明设计与安装》19D702</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ab/>
      </w:r>
      <w:r>
        <w:rPr>
          <w:rFonts w:hint="eastAsia" w:ascii="宋体" w:hAnsi="宋体" w:cs="宋体"/>
          <w:w w:val="90"/>
          <w:sz w:val="30"/>
          <w:szCs w:val="30"/>
        </w:rPr>
        <w:t>《建筑电气设施抗震安装》16D707-1</w:t>
      </w:r>
    </w:p>
    <w:p>
      <w:pPr>
        <w:tabs>
          <w:tab w:val="left" w:pos="283"/>
        </w:tabs>
        <w:spacing w:line="425" w:lineRule="exact"/>
        <w:ind w:left="454"/>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《防雷与接地(2016年合订本》: D500-505</w:t>
      </w:r>
    </w:p>
    <w:p>
      <w:pPr>
        <w:tabs>
          <w:tab w:val="left" w:pos="283"/>
        </w:tabs>
        <w:spacing w:line="425" w:lineRule="exact"/>
        <w:ind w:left="454"/>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《民用建筑电气设计与施工（2008年合订本》: D800-1~8</w:t>
      </w:r>
    </w:p>
    <w:p>
      <w:pPr>
        <w:tabs>
          <w:tab w:val="left" w:pos="283"/>
        </w:tabs>
        <w:spacing w:line="425" w:lineRule="exact"/>
        <w:ind w:left="454"/>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《火灾自动报警系统设计规范（图示）》 14X505-1</w:t>
      </w:r>
    </w:p>
    <w:p>
      <w:pPr>
        <w:tabs>
          <w:tab w:val="left" w:pos="283"/>
        </w:tabs>
        <w:spacing w:line="425" w:lineRule="exact"/>
        <w:ind w:left="454"/>
        <w:contextualSpacing/>
        <w:rPr>
          <w:rFonts w:ascii="宋体" w:hAnsi="宋体" w:cs="宋体"/>
          <w:w w:val="90"/>
          <w:sz w:val="30"/>
          <w:szCs w:val="30"/>
        </w:rPr>
      </w:pPr>
      <w:r>
        <w:rPr>
          <w:rFonts w:hint="eastAsia" w:ascii="宋体" w:hAnsi="宋体" w:cs="宋体"/>
          <w:w w:val="90"/>
          <w:sz w:val="30"/>
          <w:szCs w:val="30"/>
        </w:rPr>
        <w:tab/>
      </w:r>
      <w:r>
        <w:rPr>
          <w:rFonts w:hint="eastAsia" w:ascii="宋体" w:hAnsi="宋体" w:cs="宋体"/>
          <w:w w:val="90"/>
          <w:sz w:val="30"/>
          <w:szCs w:val="30"/>
        </w:rPr>
        <w:t>《建筑电气常用数据》19DX101-1</w:t>
      </w:r>
    </w:p>
    <w:p>
      <w:pPr>
        <w:tabs>
          <w:tab w:val="left" w:pos="283"/>
        </w:tabs>
        <w:spacing w:line="425" w:lineRule="exact"/>
        <w:ind w:left="454"/>
        <w:contextualSpacing/>
        <w:rPr>
          <w:rFonts w:ascii="宋体" w:hAnsi="宋体" w:cs="宋体"/>
          <w:w w:val="90"/>
          <w:sz w:val="30"/>
          <w:szCs w:val="30"/>
        </w:rPr>
      </w:pP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附表一 BYJ、BV、BVV导线穿管表：</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drawing>
          <wp:anchor distT="0" distB="0" distL="114300" distR="114300" simplePos="0" relativeHeight="251659264" behindDoc="0" locked="0" layoutInCell="1" allowOverlap="1">
            <wp:simplePos x="0" y="0"/>
            <wp:positionH relativeFrom="column">
              <wp:posOffset>355600</wp:posOffset>
            </wp:positionH>
            <wp:positionV relativeFrom="paragraph">
              <wp:posOffset>127000</wp:posOffset>
            </wp:positionV>
            <wp:extent cx="5312410" cy="2244090"/>
            <wp:effectExtent l="0" t="0" r="2540" b="3810"/>
            <wp:wrapTopAndBottom/>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4"/>
                    <a:stretch>
                      <a:fillRect/>
                    </a:stretch>
                  </pic:blipFill>
                  <pic:spPr>
                    <a:xfrm>
                      <a:off x="0" y="0"/>
                      <a:ext cx="5312410" cy="2244090"/>
                    </a:xfrm>
                    <a:prstGeom prst="rect">
                      <a:avLst/>
                    </a:prstGeom>
                    <a:noFill/>
                    <a:ln>
                      <a:noFill/>
                    </a:ln>
                  </pic:spPr>
                </pic:pic>
              </a:graphicData>
            </a:graphic>
          </wp:anchor>
        </w:drawing>
      </w:r>
      <w:r>
        <w:rPr>
          <w:rFonts w:hint="eastAsia" w:ascii="宋体" w:hAnsi="宋体" w:cs="宋体"/>
          <w:w w:val="90"/>
          <w:sz w:val="30"/>
          <w:szCs w:val="30"/>
        </w:rPr>
        <w:t>注：括号内数字供BVV导线用，其余均能满足两者要求。</w:t>
      </w:r>
    </w:p>
    <w:p>
      <w:pPr>
        <w:tabs>
          <w:tab w:val="left" w:pos="283"/>
        </w:tabs>
        <w:spacing w:line="425" w:lineRule="exact"/>
        <w:ind w:left="340"/>
        <w:contextualSpacing/>
        <w:rPr>
          <w:rFonts w:ascii="宋体" w:hAnsi="宋体" w:cs="宋体"/>
          <w:w w:val="90"/>
          <w:sz w:val="30"/>
          <w:szCs w:val="30"/>
        </w:rPr>
      </w:pPr>
    </w:p>
    <w:p>
      <w:pPr>
        <w:tabs>
          <w:tab w:val="left" w:pos="283"/>
        </w:tabs>
        <w:spacing w:line="425" w:lineRule="exact"/>
        <w:ind w:left="340"/>
        <w:contextualSpacing/>
        <w:rPr>
          <w:rFonts w:ascii="宋体" w:hAnsi="宋体" w:cs="宋体"/>
          <w:w w:val="90"/>
          <w:sz w:val="30"/>
          <w:szCs w:val="30"/>
        </w:rPr>
      </w:pP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t>附表二  BYJ/BV/BVV导线穿槽盒表：</w:t>
      </w:r>
    </w:p>
    <w:p>
      <w:pPr>
        <w:tabs>
          <w:tab w:val="left" w:pos="283"/>
        </w:tabs>
        <w:spacing w:line="425" w:lineRule="exact"/>
        <w:ind w:left="340"/>
        <w:contextualSpacing/>
        <w:rPr>
          <w:rFonts w:ascii="宋体" w:hAnsi="宋体" w:cs="宋体"/>
          <w:w w:val="90"/>
          <w:sz w:val="30"/>
          <w:szCs w:val="30"/>
        </w:rPr>
      </w:pPr>
      <w:r>
        <w:rPr>
          <w:rFonts w:hint="eastAsia" w:ascii="宋体" w:hAnsi="宋体" w:cs="宋体"/>
          <w:w w:val="90"/>
          <w:sz w:val="30"/>
          <w:szCs w:val="30"/>
        </w:rPr>
        <w:drawing>
          <wp:anchor distT="0" distB="0" distL="114300" distR="114300" simplePos="0" relativeHeight="251660288" behindDoc="0" locked="0" layoutInCell="1" allowOverlap="1">
            <wp:simplePos x="0" y="0"/>
            <wp:positionH relativeFrom="column">
              <wp:posOffset>202565</wp:posOffset>
            </wp:positionH>
            <wp:positionV relativeFrom="paragraph">
              <wp:posOffset>43180</wp:posOffset>
            </wp:positionV>
            <wp:extent cx="3408045" cy="2126615"/>
            <wp:effectExtent l="0" t="0" r="1905" b="6985"/>
            <wp:wrapTopAndBottom/>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5"/>
                    <a:stretch>
                      <a:fillRect/>
                    </a:stretch>
                  </pic:blipFill>
                  <pic:spPr>
                    <a:xfrm>
                      <a:off x="0" y="0"/>
                      <a:ext cx="3408045" cy="2126615"/>
                    </a:xfrm>
                    <a:prstGeom prst="rect">
                      <a:avLst/>
                    </a:prstGeom>
                    <a:noFill/>
                    <a:ln>
                      <a:noFill/>
                    </a:ln>
                  </pic:spPr>
                </pic:pic>
              </a:graphicData>
            </a:graphic>
          </wp:anchor>
        </w:drawing>
      </w:r>
      <w:r>
        <w:rPr>
          <w:rFonts w:hint="eastAsia" w:ascii="宋体" w:hAnsi="宋体" w:cs="宋体"/>
          <w:w w:val="90"/>
          <w:sz w:val="30"/>
          <w:szCs w:val="30"/>
        </w:rPr>
        <w:t>注:同槽导线的根数不宜超过30根；导线截面大于10mm</w:t>
      </w:r>
      <w:r>
        <w:rPr>
          <w:rFonts w:hint="eastAsia" w:ascii="宋体" w:hAnsi="宋体" w:cs="宋体"/>
          <w:w w:val="90"/>
          <w:sz w:val="30"/>
          <w:szCs w:val="30"/>
          <w:vertAlign w:val="superscript"/>
        </w:rPr>
        <w:t xml:space="preserve">2 </w:t>
      </w:r>
      <w:r>
        <w:rPr>
          <w:rFonts w:hint="eastAsia" w:ascii="宋体" w:hAnsi="宋体" w:cs="宋体"/>
          <w:w w:val="90"/>
          <w:sz w:val="30"/>
          <w:szCs w:val="30"/>
        </w:rPr>
        <w:t>的,采用BYJ/BV导线。</w:t>
      </w:r>
    </w:p>
    <w:p>
      <w:pPr>
        <w:tabs>
          <w:tab w:val="left" w:pos="283"/>
        </w:tabs>
        <w:spacing w:line="425" w:lineRule="exact"/>
        <w:ind w:left="340"/>
        <w:contextualSpacing/>
        <w:rPr>
          <w:rFonts w:ascii="宋体" w:hAnsi="宋体" w:cs="宋体"/>
          <w:bCs/>
          <w:w w:val="90"/>
          <w:sz w:val="30"/>
          <w:szCs w:val="30"/>
        </w:rPr>
      </w:pPr>
      <w:r>
        <w:rPr>
          <w:rFonts w:hint="eastAsia" w:ascii="宋体" w:hAnsi="宋体" w:cs="宋体"/>
          <w:sz w:val="30"/>
          <w:szCs w:val="30"/>
        </w:rPr>
        <w:drawing>
          <wp:anchor distT="0" distB="0" distL="114300" distR="114300" simplePos="0" relativeHeight="251661312" behindDoc="1" locked="0" layoutInCell="1" allowOverlap="1">
            <wp:simplePos x="0" y="0"/>
            <wp:positionH relativeFrom="column">
              <wp:posOffset>114935</wp:posOffset>
            </wp:positionH>
            <wp:positionV relativeFrom="paragraph">
              <wp:posOffset>340995</wp:posOffset>
            </wp:positionV>
            <wp:extent cx="6162675" cy="2762250"/>
            <wp:effectExtent l="0" t="0" r="9525"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62675" cy="2762250"/>
                    </a:xfrm>
                    <a:prstGeom prst="rect">
                      <a:avLst/>
                    </a:prstGeom>
                    <a:noFill/>
                    <a:ln>
                      <a:noFill/>
                    </a:ln>
                  </pic:spPr>
                </pic:pic>
              </a:graphicData>
            </a:graphic>
          </wp:anchor>
        </w:drawing>
      </w:r>
      <w:r>
        <w:rPr>
          <w:rFonts w:hint="eastAsia" w:ascii="宋体" w:hAnsi="宋体" w:cs="宋体"/>
          <w:w w:val="90"/>
          <w:sz w:val="30"/>
          <w:szCs w:val="30"/>
        </w:rPr>
        <w:t xml:space="preserve">附表四 </w:t>
      </w:r>
      <w:r>
        <w:rPr>
          <w:rFonts w:ascii="宋体" w:hAnsi="宋体" w:cs="宋体"/>
          <w:bCs/>
          <w:w w:val="90"/>
          <w:sz w:val="30"/>
          <w:szCs w:val="30"/>
        </w:rPr>
        <w:t>医疗场所及设施的类别划分与要求自动恢复供电的时间</w:t>
      </w:r>
    </w:p>
    <w:p>
      <w:pPr>
        <w:tabs>
          <w:tab w:val="left" w:pos="283"/>
        </w:tabs>
        <w:spacing w:line="425" w:lineRule="exact"/>
        <w:ind w:left="340"/>
        <w:contextualSpacing/>
        <w:rPr>
          <w:rFonts w:ascii="宋体" w:hAnsi="宋体" w:cs="宋体"/>
          <w:w w:val="90"/>
          <w:sz w:val="30"/>
          <w:szCs w:val="30"/>
        </w:rPr>
      </w:pPr>
      <w:bookmarkStart w:id="0" w:name="_GoBack"/>
      <w:bookmarkEnd w:id="0"/>
    </w:p>
    <w:sectPr>
      <w:pgSz w:w="41952" w:h="30614" w:orient="landscape"/>
      <w:pgMar w:top="57" w:right="57" w:bottom="57" w:left="119" w:header="851" w:footer="992" w:gutter="0"/>
      <w:cols w:space="427" w:num="4"/>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mantic">
    <w:panose1 w:val="00000400000000000000"/>
    <w:charset w:val="02"/>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5453E9"/>
    <w:multiLevelType w:val="multilevel"/>
    <w:tmpl w:val="465453E9"/>
    <w:lvl w:ilvl="0" w:tentative="0">
      <w:start w:val="10"/>
      <w:numFmt w:val="decimal"/>
      <w:lvlText w:val="%1）"/>
      <w:lvlJc w:val="left"/>
      <w:pPr>
        <w:ind w:left="947" w:hanging="720"/>
      </w:pPr>
      <w:rPr>
        <w:rFonts w:hint="default"/>
      </w:rPr>
    </w:lvl>
    <w:lvl w:ilvl="1" w:tentative="0">
      <w:start w:val="1"/>
      <w:numFmt w:val="lowerLetter"/>
      <w:lvlText w:val="%2)"/>
      <w:lvlJc w:val="left"/>
      <w:pPr>
        <w:ind w:left="1067" w:hanging="420"/>
      </w:pPr>
    </w:lvl>
    <w:lvl w:ilvl="2" w:tentative="0">
      <w:start w:val="1"/>
      <w:numFmt w:val="lowerRoman"/>
      <w:lvlText w:val="%3."/>
      <w:lvlJc w:val="right"/>
      <w:pPr>
        <w:ind w:left="1487" w:hanging="420"/>
      </w:pPr>
    </w:lvl>
    <w:lvl w:ilvl="3" w:tentative="0">
      <w:start w:val="1"/>
      <w:numFmt w:val="decimal"/>
      <w:lvlText w:val="%4."/>
      <w:lvlJc w:val="left"/>
      <w:pPr>
        <w:ind w:left="1907" w:hanging="420"/>
      </w:pPr>
    </w:lvl>
    <w:lvl w:ilvl="4" w:tentative="0">
      <w:start w:val="1"/>
      <w:numFmt w:val="lowerLetter"/>
      <w:lvlText w:val="%5)"/>
      <w:lvlJc w:val="left"/>
      <w:pPr>
        <w:ind w:left="2327" w:hanging="420"/>
      </w:pPr>
    </w:lvl>
    <w:lvl w:ilvl="5" w:tentative="0">
      <w:start w:val="1"/>
      <w:numFmt w:val="lowerRoman"/>
      <w:lvlText w:val="%6."/>
      <w:lvlJc w:val="right"/>
      <w:pPr>
        <w:ind w:left="2747" w:hanging="420"/>
      </w:pPr>
    </w:lvl>
    <w:lvl w:ilvl="6" w:tentative="0">
      <w:start w:val="1"/>
      <w:numFmt w:val="decimal"/>
      <w:lvlText w:val="%7."/>
      <w:lvlJc w:val="left"/>
      <w:pPr>
        <w:ind w:left="3167" w:hanging="420"/>
      </w:pPr>
    </w:lvl>
    <w:lvl w:ilvl="7" w:tentative="0">
      <w:start w:val="1"/>
      <w:numFmt w:val="lowerLetter"/>
      <w:lvlText w:val="%8)"/>
      <w:lvlJc w:val="left"/>
      <w:pPr>
        <w:ind w:left="3587" w:hanging="420"/>
      </w:pPr>
    </w:lvl>
    <w:lvl w:ilvl="8" w:tentative="0">
      <w:start w:val="1"/>
      <w:numFmt w:val="lowerRoman"/>
      <w:lvlText w:val="%9."/>
      <w:lvlJc w:val="right"/>
      <w:pPr>
        <w:ind w:left="4007" w:hanging="420"/>
      </w:pPr>
    </w:lvl>
  </w:abstractNum>
  <w:abstractNum w:abstractNumId="1">
    <w:nsid w:val="741CEBAC"/>
    <w:multiLevelType w:val="multilevel"/>
    <w:tmpl w:val="741CEBAC"/>
    <w:lvl w:ilvl="0" w:tentative="0">
      <w:start w:val="1"/>
      <w:numFmt w:val="decimal"/>
      <w:suff w:val="space"/>
      <w:lvlText w:val="%1"/>
      <w:lvlJc w:val="left"/>
      <w:pPr>
        <w:tabs>
          <w:tab w:val="left" w:pos="0"/>
        </w:tabs>
        <w:ind w:left="227" w:hanging="114"/>
      </w:pPr>
      <w:rPr>
        <w:rFonts w:hint="default" w:ascii="宋体" w:hAnsi="宋体" w:eastAsia="宋体" w:cs="宋体"/>
        <w:b w:val="0"/>
        <w:sz w:val="30"/>
        <w:szCs w:val="24"/>
      </w:rPr>
    </w:lvl>
    <w:lvl w:ilvl="1" w:tentative="0">
      <w:start w:val="1"/>
      <w:numFmt w:val="decimal"/>
      <w:suff w:val="space"/>
      <w:lvlText w:val="%1.%2"/>
      <w:lvlJc w:val="left"/>
      <w:pPr>
        <w:tabs>
          <w:tab w:val="left" w:pos="0"/>
        </w:tabs>
        <w:ind w:left="340" w:hanging="113"/>
      </w:pPr>
      <w:rPr>
        <w:rFonts w:hint="default" w:ascii="宋体" w:hAnsi="宋体" w:eastAsia="宋体" w:cs="宋体"/>
        <w:b w:val="0"/>
        <w:sz w:val="30"/>
        <w:szCs w:val="24"/>
      </w:rPr>
    </w:lvl>
    <w:lvl w:ilvl="2" w:tentative="0">
      <w:start w:val="1"/>
      <w:numFmt w:val="decimal"/>
      <w:suff w:val="space"/>
      <w:lvlText w:val="%1.%2.%3"/>
      <w:lvlJc w:val="left"/>
      <w:pPr>
        <w:tabs>
          <w:tab w:val="left" w:pos="0"/>
        </w:tabs>
        <w:ind w:left="454" w:hanging="114"/>
      </w:pPr>
      <w:rPr>
        <w:rFonts w:hint="default" w:ascii="宋体" w:hAnsi="宋体" w:eastAsia="宋体" w:cs="宋体"/>
      </w:rPr>
    </w:lvl>
    <w:lvl w:ilvl="3" w:tentative="0">
      <w:start w:val="1"/>
      <w:numFmt w:val="decimal"/>
      <w:suff w:val="space"/>
      <w:lvlText w:val="%4)"/>
      <w:lvlJc w:val="left"/>
      <w:pPr>
        <w:tabs>
          <w:tab w:val="left" w:pos="420"/>
        </w:tabs>
        <w:ind w:left="567" w:hanging="113"/>
      </w:pPr>
      <w:rPr>
        <w:rFonts w:hint="default" w:ascii="宋体" w:hAnsi="宋体" w:eastAsia="宋体" w:cs="宋体"/>
      </w:rPr>
    </w:lvl>
    <w:lvl w:ilvl="4" w:tentative="0">
      <w:start w:val="1"/>
      <w:numFmt w:val="lowerLetter"/>
      <w:suff w:val="space"/>
      <w:lvlText w:val="%5)"/>
      <w:lvlJc w:val="left"/>
      <w:pPr>
        <w:tabs>
          <w:tab w:val="left" w:pos="567"/>
        </w:tabs>
        <w:ind w:left="680" w:hanging="113"/>
      </w:pPr>
      <w:rPr>
        <w:rFonts w:hint="default" w:ascii="宋体" w:hAnsi="宋体" w:eastAsia="宋体" w:cs="宋体"/>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xNWQwMGEyZTE4YTNiNzFhOTdlZGIwYjdmOGNiYzIifQ=="/>
  </w:docVars>
  <w:rsids>
    <w:rsidRoot w:val="00172A27"/>
    <w:rsid w:val="000004F1"/>
    <w:rsid w:val="00012D32"/>
    <w:rsid w:val="00090F14"/>
    <w:rsid w:val="00172A27"/>
    <w:rsid w:val="001B3482"/>
    <w:rsid w:val="00264BFD"/>
    <w:rsid w:val="00293AF6"/>
    <w:rsid w:val="004349F0"/>
    <w:rsid w:val="00466C5C"/>
    <w:rsid w:val="00475B8E"/>
    <w:rsid w:val="004A0CDA"/>
    <w:rsid w:val="004E3215"/>
    <w:rsid w:val="004F65FA"/>
    <w:rsid w:val="005D4E94"/>
    <w:rsid w:val="00692592"/>
    <w:rsid w:val="006D3F42"/>
    <w:rsid w:val="00767370"/>
    <w:rsid w:val="008274FB"/>
    <w:rsid w:val="008925B8"/>
    <w:rsid w:val="009055F2"/>
    <w:rsid w:val="00950012"/>
    <w:rsid w:val="00A11DA6"/>
    <w:rsid w:val="00A25FF0"/>
    <w:rsid w:val="00A36099"/>
    <w:rsid w:val="00AF48E9"/>
    <w:rsid w:val="00B60452"/>
    <w:rsid w:val="00BF184D"/>
    <w:rsid w:val="00C84909"/>
    <w:rsid w:val="00CB4B1B"/>
    <w:rsid w:val="00D76559"/>
    <w:rsid w:val="00D909FB"/>
    <w:rsid w:val="00DA399F"/>
    <w:rsid w:val="00DE7F69"/>
    <w:rsid w:val="00E133AD"/>
    <w:rsid w:val="00EE108B"/>
    <w:rsid w:val="00F000CC"/>
    <w:rsid w:val="00F024C6"/>
    <w:rsid w:val="00F30BBA"/>
    <w:rsid w:val="00FF122F"/>
    <w:rsid w:val="01117245"/>
    <w:rsid w:val="022B42BE"/>
    <w:rsid w:val="03146DFA"/>
    <w:rsid w:val="04F71133"/>
    <w:rsid w:val="054A47B0"/>
    <w:rsid w:val="059F1890"/>
    <w:rsid w:val="060B1DA0"/>
    <w:rsid w:val="061B4FD6"/>
    <w:rsid w:val="06615582"/>
    <w:rsid w:val="06B05C01"/>
    <w:rsid w:val="09076B2B"/>
    <w:rsid w:val="0ABD16A6"/>
    <w:rsid w:val="0B700570"/>
    <w:rsid w:val="0B8E0224"/>
    <w:rsid w:val="0C64623A"/>
    <w:rsid w:val="0CEE0C68"/>
    <w:rsid w:val="0DDA6708"/>
    <w:rsid w:val="0EB1191B"/>
    <w:rsid w:val="0F5150A3"/>
    <w:rsid w:val="103A4D6A"/>
    <w:rsid w:val="11322F7D"/>
    <w:rsid w:val="11C5682B"/>
    <w:rsid w:val="12773978"/>
    <w:rsid w:val="13766694"/>
    <w:rsid w:val="1466794B"/>
    <w:rsid w:val="14B63986"/>
    <w:rsid w:val="157E6D0D"/>
    <w:rsid w:val="158E4312"/>
    <w:rsid w:val="18016058"/>
    <w:rsid w:val="184064A6"/>
    <w:rsid w:val="193715AF"/>
    <w:rsid w:val="19D47216"/>
    <w:rsid w:val="1A3239C6"/>
    <w:rsid w:val="1A6B6966"/>
    <w:rsid w:val="1BDC12C1"/>
    <w:rsid w:val="1DBB4B18"/>
    <w:rsid w:val="1EC06F9D"/>
    <w:rsid w:val="1FEB69AF"/>
    <w:rsid w:val="204F44A7"/>
    <w:rsid w:val="218B2239"/>
    <w:rsid w:val="21F421F4"/>
    <w:rsid w:val="230E0A6E"/>
    <w:rsid w:val="234761F5"/>
    <w:rsid w:val="23A72138"/>
    <w:rsid w:val="24734745"/>
    <w:rsid w:val="24B90190"/>
    <w:rsid w:val="25755C29"/>
    <w:rsid w:val="25886EBC"/>
    <w:rsid w:val="258F0BD7"/>
    <w:rsid w:val="26EE5878"/>
    <w:rsid w:val="285745F1"/>
    <w:rsid w:val="29A7052D"/>
    <w:rsid w:val="2A190F6F"/>
    <w:rsid w:val="2AB729DE"/>
    <w:rsid w:val="2AF06445"/>
    <w:rsid w:val="2B1A012F"/>
    <w:rsid w:val="2B3D2196"/>
    <w:rsid w:val="2B6F72A5"/>
    <w:rsid w:val="2C4F5B19"/>
    <w:rsid w:val="2CAE3396"/>
    <w:rsid w:val="2CB920B6"/>
    <w:rsid w:val="2D1C7A27"/>
    <w:rsid w:val="2D292F46"/>
    <w:rsid w:val="2D6A2F40"/>
    <w:rsid w:val="2ED326B4"/>
    <w:rsid w:val="2EEE4DEB"/>
    <w:rsid w:val="32667C29"/>
    <w:rsid w:val="33142F98"/>
    <w:rsid w:val="3339424E"/>
    <w:rsid w:val="341B327F"/>
    <w:rsid w:val="342A6D2A"/>
    <w:rsid w:val="38927D26"/>
    <w:rsid w:val="38A06D89"/>
    <w:rsid w:val="38E2233E"/>
    <w:rsid w:val="38FF0C4D"/>
    <w:rsid w:val="394069BD"/>
    <w:rsid w:val="39996ACD"/>
    <w:rsid w:val="3AA56B19"/>
    <w:rsid w:val="3AE34E66"/>
    <w:rsid w:val="3DA9169E"/>
    <w:rsid w:val="3E056109"/>
    <w:rsid w:val="3E450B64"/>
    <w:rsid w:val="3EFD7701"/>
    <w:rsid w:val="3F4C3087"/>
    <w:rsid w:val="3F71124E"/>
    <w:rsid w:val="41684C0B"/>
    <w:rsid w:val="4214282A"/>
    <w:rsid w:val="44E624EE"/>
    <w:rsid w:val="454B21CE"/>
    <w:rsid w:val="45C85647"/>
    <w:rsid w:val="45DA58CD"/>
    <w:rsid w:val="46396445"/>
    <w:rsid w:val="49C8376B"/>
    <w:rsid w:val="4A221209"/>
    <w:rsid w:val="4AC94EF2"/>
    <w:rsid w:val="4C6F2789"/>
    <w:rsid w:val="4E77097A"/>
    <w:rsid w:val="4F152820"/>
    <w:rsid w:val="5089798C"/>
    <w:rsid w:val="50DF1F00"/>
    <w:rsid w:val="521E338D"/>
    <w:rsid w:val="52BA08D7"/>
    <w:rsid w:val="547329C6"/>
    <w:rsid w:val="5499458F"/>
    <w:rsid w:val="54AE5536"/>
    <w:rsid w:val="54E23416"/>
    <w:rsid w:val="550577BB"/>
    <w:rsid w:val="55E738C7"/>
    <w:rsid w:val="57DA00A8"/>
    <w:rsid w:val="582423A4"/>
    <w:rsid w:val="58351EF9"/>
    <w:rsid w:val="5B415BFF"/>
    <w:rsid w:val="5B4551D2"/>
    <w:rsid w:val="5B9B3945"/>
    <w:rsid w:val="5C1515E5"/>
    <w:rsid w:val="5C643EC4"/>
    <w:rsid w:val="5D2F0CC4"/>
    <w:rsid w:val="5E262289"/>
    <w:rsid w:val="5E57178B"/>
    <w:rsid w:val="5F2E0E45"/>
    <w:rsid w:val="5F641608"/>
    <w:rsid w:val="5F711E56"/>
    <w:rsid w:val="5F880822"/>
    <w:rsid w:val="5FE12C41"/>
    <w:rsid w:val="5FF01A4D"/>
    <w:rsid w:val="610B2C81"/>
    <w:rsid w:val="6155293D"/>
    <w:rsid w:val="638B5C8A"/>
    <w:rsid w:val="63EB4135"/>
    <w:rsid w:val="643234D3"/>
    <w:rsid w:val="650004FF"/>
    <w:rsid w:val="65B527F3"/>
    <w:rsid w:val="65CA3EF6"/>
    <w:rsid w:val="662E41A4"/>
    <w:rsid w:val="66CE2EA5"/>
    <w:rsid w:val="66E12417"/>
    <w:rsid w:val="67820D86"/>
    <w:rsid w:val="69B27264"/>
    <w:rsid w:val="6A886447"/>
    <w:rsid w:val="6AE910E7"/>
    <w:rsid w:val="6B760C31"/>
    <w:rsid w:val="6C113CD6"/>
    <w:rsid w:val="6CEF6CA4"/>
    <w:rsid w:val="6D2B7D12"/>
    <w:rsid w:val="6DCE589F"/>
    <w:rsid w:val="6E31595A"/>
    <w:rsid w:val="6FDA1E9D"/>
    <w:rsid w:val="701B5FE9"/>
    <w:rsid w:val="70244F81"/>
    <w:rsid w:val="708F6571"/>
    <w:rsid w:val="71300AEB"/>
    <w:rsid w:val="717A550E"/>
    <w:rsid w:val="7313233B"/>
    <w:rsid w:val="749052B3"/>
    <w:rsid w:val="74AD2F03"/>
    <w:rsid w:val="7555259B"/>
    <w:rsid w:val="75C001FF"/>
    <w:rsid w:val="75FA3600"/>
    <w:rsid w:val="769360AF"/>
    <w:rsid w:val="77FE06FF"/>
    <w:rsid w:val="784F6267"/>
    <w:rsid w:val="796C25E1"/>
    <w:rsid w:val="799E10EC"/>
    <w:rsid w:val="7A115127"/>
    <w:rsid w:val="7A2E07A3"/>
    <w:rsid w:val="7B4B01C8"/>
    <w:rsid w:val="7C6019C7"/>
    <w:rsid w:val="7C6D2165"/>
    <w:rsid w:val="7CAE3969"/>
    <w:rsid w:val="7DBB40EC"/>
    <w:rsid w:val="7EE8436F"/>
    <w:rsid w:val="7F7C6093"/>
    <w:rsid w:val="7FE53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FollowedHyperlink"/>
    <w:basedOn w:val="8"/>
    <w:qFormat/>
    <w:uiPriority w:val="0"/>
    <w:rPr>
      <w:color w:val="0000CC"/>
      <w:sz w:val="22"/>
      <w:szCs w:val="22"/>
      <w:u w:val="single"/>
    </w:rPr>
  </w:style>
  <w:style w:type="character" w:styleId="11">
    <w:name w:val="Hyperlink"/>
    <w:basedOn w:val="8"/>
    <w:qFormat/>
    <w:uiPriority w:val="0"/>
    <w:rPr>
      <w:b/>
      <w:color w:val="0000CC"/>
      <w:sz w:val="22"/>
      <w:szCs w:val="22"/>
      <w:u w:val="single"/>
    </w:rPr>
  </w:style>
  <w:style w:type="paragraph" w:styleId="12">
    <w:name w:val="List Paragraph"/>
    <w:basedOn w:val="1"/>
    <w:qFormat/>
    <w:uiPriority w:val="34"/>
    <w:pPr>
      <w:ind w:firstLine="420" w:firstLineChars="200"/>
    </w:p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页脚 字符"/>
    <w:link w:val="3"/>
    <w:qFormat/>
    <w:uiPriority w:val="0"/>
    <w:rPr>
      <w:rFonts w:ascii="Calibri" w:hAnsi="Calibri"/>
      <w:kern w:val="2"/>
      <w:sz w:val="18"/>
      <w:szCs w:val="18"/>
    </w:rPr>
  </w:style>
  <w:style w:type="character" w:customStyle="1" w:styleId="15">
    <w:name w:val="页眉 字符"/>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PLAYTIME</Company>
  <Pages>4</Pages>
  <Words>17438</Words>
  <Characters>19814</Characters>
  <Lines>150</Lines>
  <Paragraphs>42</Paragraphs>
  <TotalTime>2</TotalTime>
  <ScaleCrop>false</ScaleCrop>
  <LinksUpToDate>false</LinksUpToDate>
  <CharactersWithSpaces>20084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2021-12-09T01:32:00Z</dcterms:created>
  <dc:creator>叶充</dc:creator>
  <cp:lastModifiedBy>曾铭峰</cp:lastModifiedBy>
  <cp:lastPrinted>2021-08-21T05:43:00Z</cp:lastPrinted>
  <dcterms:modified xsi:type="dcterms:W3CDTF">2023-07-14T12:23:07Z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E21EF5165997406CB568F885C285DA54</vt:lpwstr>
  </property>
  <property fmtid="{D5CDD505-2E9C-101B-9397-08002B2CF9AE}" pid="4" name="commondata">
    <vt:lpwstr>eyJoZGlkIjoiNTg1ZjFjZjAwYWUyOGRkMmRhMDFiODNhMTBiNjljNzcifQ==</vt:lpwstr>
  </property>
</Properties>
</file>